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5393" w14:textId="77777777" w:rsidR="00C24CB9" w:rsidRPr="0022402A" w:rsidRDefault="00C24CB9" w:rsidP="00C24CB9">
      <w:pPr>
        <w:rPr>
          <w:b/>
          <w:u w:val="single"/>
        </w:rPr>
      </w:pPr>
      <w:bookmarkStart w:id="0" w:name="_GoBack"/>
      <w:bookmarkEnd w:id="0"/>
      <w:r w:rsidRPr="0022402A">
        <w:rPr>
          <w:b/>
          <w:u w:val="single"/>
        </w:rPr>
        <w:t>R</w:t>
      </w:r>
      <w:r w:rsidR="00541314" w:rsidRPr="0022402A">
        <w:rPr>
          <w:b/>
          <w:u w:val="single"/>
        </w:rPr>
        <w:t>isk Modeling Work Group Agenda</w:t>
      </w:r>
      <w:r w:rsidRPr="0022402A">
        <w:rPr>
          <w:b/>
          <w:u w:val="single"/>
        </w:rPr>
        <w:t xml:space="preserve"> and Notes</w:t>
      </w:r>
    </w:p>
    <w:p w14:paraId="4D45E1CD" w14:textId="5710F93B" w:rsidR="00C24CB9" w:rsidRPr="00344669" w:rsidRDefault="00C24CB9" w:rsidP="00C24CB9">
      <w:r w:rsidRPr="00541314">
        <w:rPr>
          <w:b/>
        </w:rPr>
        <w:t>Location</w:t>
      </w:r>
      <w:r w:rsidR="00541314" w:rsidRPr="00541314">
        <w:rPr>
          <w:b/>
        </w:rPr>
        <w:t xml:space="preserve"> of Meeting</w:t>
      </w:r>
      <w:r w:rsidR="00541314">
        <w:t>:</w:t>
      </w:r>
      <w:r w:rsidRPr="00344669">
        <w:t xml:space="preserve"> </w:t>
      </w:r>
      <w:r w:rsidR="008F556C">
        <w:t>API Offices</w:t>
      </w:r>
      <w:r w:rsidR="003D1E2C">
        <w:t xml:space="preserve">, </w:t>
      </w:r>
      <w:r w:rsidR="008F556C" w:rsidRPr="008F556C">
        <w:t>1800 West Loop South, Suite 1210</w:t>
      </w:r>
      <w:r w:rsidRPr="00344669">
        <w:t xml:space="preserve">, </w:t>
      </w:r>
      <w:r w:rsidR="003D1E2C">
        <w:t>Houston, TX</w:t>
      </w:r>
      <w:r w:rsidR="008F556C">
        <w:t xml:space="preserve">  77027</w:t>
      </w:r>
      <w:r w:rsidR="003D1E2C">
        <w:t xml:space="preserve"> </w:t>
      </w:r>
    </w:p>
    <w:p w14:paraId="0CF4668B" w14:textId="73A7003F" w:rsidR="00C24CB9" w:rsidRPr="00344669" w:rsidRDefault="00C24CB9" w:rsidP="00C24CB9">
      <w:r w:rsidRPr="00541314">
        <w:rPr>
          <w:b/>
        </w:rPr>
        <w:t>Meeting Purpose</w:t>
      </w:r>
      <w:r w:rsidRPr="00344669">
        <w:t xml:space="preserve">: </w:t>
      </w:r>
      <w:r w:rsidR="008F556C" w:rsidRPr="008F556C">
        <w:t>Index Model Applications &amp; Evolving to More Quantitative Models</w:t>
      </w:r>
    </w:p>
    <w:p w14:paraId="170E99A5" w14:textId="7F0E3BB6" w:rsidR="00C24CB9" w:rsidRPr="00344669" w:rsidRDefault="00C24CB9" w:rsidP="00C24CB9">
      <w:r w:rsidRPr="00344669">
        <w:rPr>
          <w:b/>
        </w:rPr>
        <w:t>Date:</w:t>
      </w:r>
      <w:r w:rsidRPr="00344669">
        <w:t xml:space="preserve"> Thursday, </w:t>
      </w:r>
      <w:r w:rsidR="008F556C">
        <w:t xml:space="preserve">June 15, </w:t>
      </w:r>
      <w:r w:rsidR="003D1E2C">
        <w:t>2017</w:t>
      </w:r>
    </w:p>
    <w:p w14:paraId="26291CCB" w14:textId="71C181B3" w:rsidR="00C24CB9" w:rsidRDefault="00C24CB9" w:rsidP="00C24CB9">
      <w:pPr>
        <w:spacing w:after="200" w:line="276" w:lineRule="auto"/>
        <w:rPr>
          <w:bCs/>
        </w:rPr>
      </w:pPr>
      <w:r w:rsidRPr="00344669">
        <w:rPr>
          <w:b/>
          <w:bCs/>
        </w:rPr>
        <w:t>Attendees:</w:t>
      </w:r>
      <w:r w:rsidR="00541314">
        <w:rPr>
          <w:b/>
          <w:bCs/>
        </w:rPr>
        <w:t xml:space="preserve"> </w:t>
      </w:r>
      <w:r w:rsidRPr="00344669">
        <w:rPr>
          <w:bCs/>
        </w:rPr>
        <w:t xml:space="preserve">Participants listed at the </w:t>
      </w:r>
      <w:r w:rsidR="00844C0E">
        <w:rPr>
          <w:bCs/>
        </w:rPr>
        <w:t>end</w:t>
      </w:r>
      <w:r w:rsidRPr="00344669">
        <w:rPr>
          <w:bCs/>
        </w:rPr>
        <w:t xml:space="preserve"> of this document.</w:t>
      </w:r>
    </w:p>
    <w:p w14:paraId="12426706" w14:textId="16B6F64F" w:rsidR="00C24CB9" w:rsidRDefault="00C24CB9" w:rsidP="00C24CB9">
      <w:pPr>
        <w:spacing w:after="200" w:line="276" w:lineRule="auto"/>
        <w:rPr>
          <w:i/>
        </w:rPr>
      </w:pPr>
      <w:r w:rsidRPr="00344669">
        <w:rPr>
          <w:b/>
          <w:bCs/>
        </w:rPr>
        <w:t>Meeting Action Items (identified by “**” in the notes)</w:t>
      </w:r>
      <w:r w:rsidR="008111B3">
        <w:rPr>
          <w:b/>
          <w:bCs/>
        </w:rPr>
        <w:t xml:space="preserve">  </w:t>
      </w:r>
      <w:r w:rsidR="008111B3" w:rsidRPr="008111B3">
        <w:rPr>
          <w:bCs/>
          <w:i/>
        </w:rPr>
        <w:t>N</w:t>
      </w:r>
      <w:r w:rsidR="008111B3">
        <w:rPr>
          <w:bCs/>
          <w:i/>
        </w:rPr>
        <w:t>one Identified</w:t>
      </w:r>
    </w:p>
    <w:p w14:paraId="79EBA53D" w14:textId="266BBB0C" w:rsidR="00C24CB9" w:rsidRPr="00344669" w:rsidRDefault="00C24CB9" w:rsidP="00C24CB9">
      <w:pPr>
        <w:pStyle w:val="ListParagraph"/>
        <w:numPr>
          <w:ilvl w:val="0"/>
          <w:numId w:val="1"/>
        </w:numPr>
      </w:pPr>
      <w:r w:rsidRPr="00344669">
        <w:t>Introductions / Safety Moment (</w:t>
      </w:r>
      <w:r w:rsidR="008F556C">
        <w:t>Stuart Saulters</w:t>
      </w:r>
      <w:r w:rsidR="00F10CA0">
        <w:t xml:space="preserve">; </w:t>
      </w:r>
      <w:r w:rsidR="00141CC6">
        <w:t xml:space="preserve">API </w:t>
      </w:r>
      <w:r w:rsidR="008F556C">
        <w:t>/</w:t>
      </w:r>
      <w:r w:rsidR="00141CC6">
        <w:t xml:space="preserve"> </w:t>
      </w:r>
      <w:r w:rsidR="008F556C">
        <w:t>Steve Nanney</w:t>
      </w:r>
      <w:r w:rsidR="00F10CA0">
        <w:t>;</w:t>
      </w:r>
      <w:r w:rsidR="00141CC6">
        <w:t xml:space="preserve"> PHMSA</w:t>
      </w:r>
      <w:r w:rsidRPr="00344669">
        <w:t>)</w:t>
      </w:r>
    </w:p>
    <w:p w14:paraId="602F058D" w14:textId="699A4AE5" w:rsidR="00C24CB9" w:rsidRDefault="00C24CB9" w:rsidP="00C24CB9">
      <w:pPr>
        <w:pStyle w:val="ListParagraph"/>
        <w:numPr>
          <w:ilvl w:val="1"/>
          <w:numId w:val="1"/>
        </w:numPr>
        <w:spacing w:after="200" w:line="276" w:lineRule="auto"/>
      </w:pPr>
      <w:r w:rsidRPr="00344669">
        <w:t>Introduction of Attendees, Safety Moment, Meeting Logistics and Timing</w:t>
      </w:r>
    </w:p>
    <w:p w14:paraId="72ABBB47" w14:textId="160F9F57" w:rsidR="008140EC" w:rsidRPr="000C2146" w:rsidRDefault="008140EC" w:rsidP="00A314A3">
      <w:pPr>
        <w:pStyle w:val="ListParagraph"/>
        <w:spacing w:before="120" w:after="200" w:line="276" w:lineRule="auto"/>
        <w:ind w:left="1080"/>
        <w:rPr>
          <w:i/>
        </w:rPr>
      </w:pPr>
      <w:r>
        <w:rPr>
          <w:i/>
        </w:rPr>
        <w:t xml:space="preserve">Be cautious when doing home repairs – drilling (line of fire), etc. can be </w:t>
      </w:r>
      <w:r w:rsidR="008111B3">
        <w:rPr>
          <w:i/>
        </w:rPr>
        <w:t>demonstrably hazardous</w:t>
      </w:r>
      <w:r w:rsidR="0061077C">
        <w:rPr>
          <w:i/>
        </w:rPr>
        <w:t xml:space="preserve"> (Stuart Saulters)</w:t>
      </w:r>
      <w:r w:rsidR="008111B3">
        <w:rPr>
          <w:i/>
        </w:rPr>
        <w:t>.</w:t>
      </w:r>
    </w:p>
    <w:p w14:paraId="05C1BDFE" w14:textId="77777777" w:rsidR="008F556C" w:rsidRDefault="008F556C" w:rsidP="008F556C">
      <w:pPr>
        <w:pStyle w:val="ListParagraph"/>
        <w:spacing w:after="200" w:line="276" w:lineRule="auto"/>
        <w:ind w:left="1080"/>
      </w:pPr>
    </w:p>
    <w:p w14:paraId="1D15183A" w14:textId="50B387A5" w:rsidR="007063FF" w:rsidRDefault="008F556C" w:rsidP="008F556C">
      <w:pPr>
        <w:pStyle w:val="ListParagraph"/>
        <w:numPr>
          <w:ilvl w:val="1"/>
          <w:numId w:val="1"/>
        </w:numPr>
        <w:spacing w:after="200" w:line="276" w:lineRule="auto"/>
      </w:pPr>
      <w:r>
        <w:t xml:space="preserve">Anticipated RMWG schedule </w:t>
      </w:r>
    </w:p>
    <w:p w14:paraId="07D1B41E" w14:textId="77777777" w:rsidR="008111B3" w:rsidRPr="004F5B66" w:rsidRDefault="008111B3" w:rsidP="008111B3">
      <w:pPr>
        <w:pStyle w:val="ListParagraph"/>
        <w:spacing w:after="200" w:line="276" w:lineRule="auto"/>
        <w:ind w:left="1080"/>
        <w:rPr>
          <w:i/>
        </w:rPr>
      </w:pPr>
      <w:r>
        <w:t>•</w:t>
      </w:r>
      <w:r>
        <w:tab/>
      </w:r>
      <w:r w:rsidRPr="004F5B66">
        <w:rPr>
          <w:i/>
        </w:rPr>
        <w:t>June 15, 2017 Index Model Meeting</w:t>
      </w:r>
    </w:p>
    <w:p w14:paraId="12F79F25" w14:textId="3906EDD7" w:rsidR="008111B3" w:rsidRPr="004F5B66" w:rsidRDefault="008111B3" w:rsidP="008111B3">
      <w:pPr>
        <w:pStyle w:val="ListParagraph"/>
        <w:spacing w:after="200" w:line="276" w:lineRule="auto"/>
        <w:ind w:left="1080" w:firstLine="360"/>
        <w:rPr>
          <w:i/>
        </w:rPr>
      </w:pPr>
      <w:r w:rsidRPr="004F5B66">
        <w:rPr>
          <w:i/>
        </w:rPr>
        <w:t>o PHMSA internal full report draft comments by 7/21/17</w:t>
      </w:r>
    </w:p>
    <w:p w14:paraId="40A1036A" w14:textId="77777777" w:rsidR="008111B3" w:rsidRPr="004F5B66" w:rsidRDefault="008111B3" w:rsidP="008111B3">
      <w:pPr>
        <w:pStyle w:val="ListParagraph"/>
        <w:spacing w:after="200" w:line="276" w:lineRule="auto"/>
        <w:ind w:left="1080"/>
        <w:rPr>
          <w:i/>
        </w:rPr>
      </w:pPr>
      <w:r w:rsidRPr="004F5B66">
        <w:rPr>
          <w:i/>
        </w:rPr>
        <w:t>•</w:t>
      </w:r>
      <w:r w:rsidRPr="004F5B66">
        <w:rPr>
          <w:i/>
        </w:rPr>
        <w:tab/>
        <w:t>Draft report to RMWG by 8/4/17</w:t>
      </w:r>
    </w:p>
    <w:p w14:paraId="7C0CE374" w14:textId="30043982" w:rsidR="008111B3" w:rsidRPr="004F5B66" w:rsidRDefault="008111B3" w:rsidP="008111B3">
      <w:pPr>
        <w:pStyle w:val="ListParagraph"/>
        <w:spacing w:after="200" w:line="276" w:lineRule="auto"/>
        <w:ind w:left="1080" w:firstLine="360"/>
        <w:rPr>
          <w:i/>
        </w:rPr>
      </w:pPr>
      <w:r w:rsidRPr="004F5B66">
        <w:rPr>
          <w:i/>
        </w:rPr>
        <w:t>o RMWG report comments due by 9/1/17</w:t>
      </w:r>
    </w:p>
    <w:p w14:paraId="157ED334" w14:textId="77777777" w:rsidR="008111B3" w:rsidRPr="004F5B66" w:rsidRDefault="008111B3" w:rsidP="008111B3">
      <w:pPr>
        <w:pStyle w:val="ListParagraph"/>
        <w:spacing w:after="200" w:line="276" w:lineRule="auto"/>
        <w:ind w:left="1080"/>
        <w:rPr>
          <w:i/>
        </w:rPr>
      </w:pPr>
      <w:r w:rsidRPr="004F5B66">
        <w:rPr>
          <w:i/>
        </w:rPr>
        <w:t>•</w:t>
      </w:r>
      <w:r w:rsidRPr="004F5B66">
        <w:rPr>
          <w:i/>
        </w:rPr>
        <w:tab/>
        <w:t>Revise Document – final review late Sept.</w:t>
      </w:r>
    </w:p>
    <w:p w14:paraId="3D792152" w14:textId="77777777" w:rsidR="008111B3" w:rsidRPr="004F5B66" w:rsidRDefault="008111B3" w:rsidP="008111B3">
      <w:pPr>
        <w:pStyle w:val="ListParagraph"/>
        <w:spacing w:after="200" w:line="276" w:lineRule="auto"/>
        <w:ind w:left="1440" w:hanging="360"/>
        <w:rPr>
          <w:i/>
        </w:rPr>
      </w:pPr>
      <w:r w:rsidRPr="004F5B66">
        <w:rPr>
          <w:i/>
        </w:rPr>
        <w:t>•</w:t>
      </w:r>
      <w:r w:rsidRPr="004F5B66">
        <w:rPr>
          <w:i/>
        </w:rPr>
        <w:tab/>
        <w:t>Final draft of the Risk Modeling Technical Guidance Document to PHMSA HQ for review by early 10/2017</w:t>
      </w:r>
    </w:p>
    <w:p w14:paraId="6B001FCD" w14:textId="77777777" w:rsidR="008111B3" w:rsidRPr="004F5B66" w:rsidRDefault="008111B3" w:rsidP="008111B3">
      <w:pPr>
        <w:pStyle w:val="ListParagraph"/>
        <w:spacing w:after="200" w:line="276" w:lineRule="auto"/>
        <w:ind w:left="1080"/>
        <w:rPr>
          <w:i/>
        </w:rPr>
      </w:pPr>
      <w:r w:rsidRPr="004F5B66">
        <w:rPr>
          <w:i/>
        </w:rPr>
        <w:t>•</w:t>
      </w:r>
      <w:r w:rsidRPr="004F5B66">
        <w:rPr>
          <w:i/>
        </w:rPr>
        <w:tab/>
        <w:t>Public workshop – TBD – late Fall</w:t>
      </w:r>
    </w:p>
    <w:p w14:paraId="7C91BB85" w14:textId="7DD3DBF1" w:rsidR="008111B3" w:rsidRDefault="008111B3" w:rsidP="008F556C">
      <w:pPr>
        <w:pStyle w:val="ListParagraph"/>
        <w:spacing w:after="200" w:line="276" w:lineRule="auto"/>
        <w:ind w:left="1080"/>
      </w:pPr>
    </w:p>
    <w:p w14:paraId="66ADC64C" w14:textId="1C513106" w:rsidR="00C24CB9" w:rsidRPr="00344669" w:rsidRDefault="00C24CB9" w:rsidP="0004469C">
      <w:pPr>
        <w:pStyle w:val="ListParagraph"/>
        <w:numPr>
          <w:ilvl w:val="0"/>
          <w:numId w:val="1"/>
        </w:numPr>
      </w:pPr>
      <w:r w:rsidRPr="00344669">
        <w:t>Technical Presentation #1</w:t>
      </w:r>
      <w:r w:rsidR="0004469C" w:rsidRPr="00344669">
        <w:t xml:space="preserve">: </w:t>
      </w:r>
      <w:r w:rsidR="008F556C">
        <w:t>SME Input into Pipeline Risk Models (Chris McLaren</w:t>
      </w:r>
      <w:r w:rsidR="0004469C" w:rsidRPr="00344669">
        <w:t xml:space="preserve">; </w:t>
      </w:r>
      <w:r w:rsidR="008F556C">
        <w:t>PHMSA</w:t>
      </w:r>
      <w:r w:rsidRPr="00344669">
        <w:t>)</w:t>
      </w:r>
    </w:p>
    <w:p w14:paraId="022CDF85" w14:textId="1BB7C8DC" w:rsidR="008B0821" w:rsidRDefault="004F5B66" w:rsidP="008140EC">
      <w:pPr>
        <w:pStyle w:val="ListParagraph"/>
        <w:rPr>
          <w:i/>
        </w:rPr>
      </w:pPr>
      <w:r>
        <w:rPr>
          <w:i/>
        </w:rPr>
        <w:t>SME input is an aspect of m</w:t>
      </w:r>
      <w:r w:rsidR="008B0821" w:rsidRPr="008140EC">
        <w:rPr>
          <w:i/>
        </w:rPr>
        <w:t xml:space="preserve">ost </w:t>
      </w:r>
      <w:r>
        <w:rPr>
          <w:i/>
        </w:rPr>
        <w:t>p</w:t>
      </w:r>
      <w:r w:rsidR="008B0821" w:rsidRPr="008140EC">
        <w:rPr>
          <w:i/>
        </w:rPr>
        <w:t xml:space="preserve">ipeline </w:t>
      </w:r>
      <w:r>
        <w:rPr>
          <w:i/>
        </w:rPr>
        <w:t>r</w:t>
      </w:r>
      <w:r w:rsidR="008B0821" w:rsidRPr="008140EC">
        <w:rPr>
          <w:i/>
        </w:rPr>
        <w:t xml:space="preserve">isk </w:t>
      </w:r>
      <w:r>
        <w:rPr>
          <w:i/>
        </w:rPr>
        <w:t>m</w:t>
      </w:r>
      <w:r w:rsidR="008B0821" w:rsidRPr="008140EC">
        <w:rPr>
          <w:i/>
        </w:rPr>
        <w:t>odels</w:t>
      </w:r>
    </w:p>
    <w:p w14:paraId="16F4DD14" w14:textId="73A825B8" w:rsidR="008B0821" w:rsidRDefault="008B0821" w:rsidP="002A5E30">
      <w:pPr>
        <w:pStyle w:val="ListParagraph"/>
        <w:rPr>
          <w:i/>
        </w:rPr>
      </w:pPr>
      <w:r w:rsidRPr="002A5E30">
        <w:rPr>
          <w:i/>
        </w:rPr>
        <w:t>Complete and accurate records are not always available for every segment and some risk model inputs may not be obtainable from records</w:t>
      </w:r>
    </w:p>
    <w:p w14:paraId="14BC033A" w14:textId="56805C4D" w:rsidR="002A5E30" w:rsidRDefault="002A5E30" w:rsidP="002A5E30">
      <w:pPr>
        <w:pStyle w:val="ListParagraph"/>
        <w:rPr>
          <w:i/>
        </w:rPr>
      </w:pPr>
      <w:r>
        <w:rPr>
          <w:i/>
        </w:rPr>
        <w:t>General guidelines discussed – SME qualifications, communication of what terms and nomenclature really mean, etc.</w:t>
      </w:r>
    </w:p>
    <w:p w14:paraId="6EEE40DD" w14:textId="0D972F01" w:rsidR="002A5E30" w:rsidRDefault="002A5E30" w:rsidP="002A5E30">
      <w:pPr>
        <w:pStyle w:val="ListParagraph"/>
        <w:rPr>
          <w:i/>
        </w:rPr>
      </w:pPr>
      <w:r>
        <w:rPr>
          <w:i/>
        </w:rPr>
        <w:t>Process guidelines discussed – facilitated discussion important, rules for difference of opinion, etc.</w:t>
      </w:r>
    </w:p>
    <w:p w14:paraId="7BF2F48E" w14:textId="791E503A" w:rsidR="002A5E30" w:rsidRDefault="002A5E30" w:rsidP="002A5E30">
      <w:pPr>
        <w:pStyle w:val="ListParagraph"/>
        <w:rPr>
          <w:i/>
        </w:rPr>
      </w:pPr>
      <w:r>
        <w:rPr>
          <w:i/>
        </w:rPr>
        <w:t xml:space="preserve">Past RMWG </w:t>
      </w:r>
      <w:r w:rsidR="001F1F15">
        <w:rPr>
          <w:i/>
        </w:rPr>
        <w:t xml:space="preserve">technical </w:t>
      </w:r>
      <w:r>
        <w:rPr>
          <w:i/>
        </w:rPr>
        <w:t>presentation</w:t>
      </w:r>
      <w:r w:rsidR="001F1F15">
        <w:rPr>
          <w:i/>
        </w:rPr>
        <w:t>s</w:t>
      </w:r>
      <w:r>
        <w:rPr>
          <w:i/>
        </w:rPr>
        <w:t xml:space="preserve"> aspects of SME input summarized</w:t>
      </w:r>
      <w:r w:rsidR="001F1F15">
        <w:rPr>
          <w:i/>
        </w:rPr>
        <w:t xml:space="preserve"> – Patev, Kendrick, Youngblood, Muhlbauer, Skow</w:t>
      </w:r>
      <w:r>
        <w:rPr>
          <w:i/>
        </w:rPr>
        <w:t>.</w:t>
      </w:r>
    </w:p>
    <w:p w14:paraId="6CF8C348" w14:textId="77777777" w:rsidR="004F5B66" w:rsidRDefault="004F5B66" w:rsidP="001F1F15">
      <w:pPr>
        <w:pStyle w:val="ListParagraph"/>
        <w:rPr>
          <w:i/>
        </w:rPr>
      </w:pPr>
    </w:p>
    <w:p w14:paraId="1EEC0801" w14:textId="5B8A8AB9" w:rsidR="001F1F15" w:rsidRDefault="001F1F15" w:rsidP="001F1F15">
      <w:pPr>
        <w:pStyle w:val="ListParagraph"/>
        <w:rPr>
          <w:i/>
        </w:rPr>
      </w:pPr>
      <w:r>
        <w:rPr>
          <w:i/>
        </w:rPr>
        <w:t>Conclusions:</w:t>
      </w:r>
    </w:p>
    <w:p w14:paraId="32368660" w14:textId="5DF419A1" w:rsidR="001F1F15" w:rsidRDefault="001F1F15" w:rsidP="004F5B66">
      <w:pPr>
        <w:pStyle w:val="ListParagraph"/>
        <w:numPr>
          <w:ilvl w:val="0"/>
          <w:numId w:val="21"/>
        </w:numPr>
        <w:rPr>
          <w:i/>
        </w:rPr>
      </w:pPr>
      <w:r w:rsidRPr="004F5B66">
        <w:rPr>
          <w:i/>
        </w:rPr>
        <w:t xml:space="preserve">The need for SME-derived input to pipeline risk models is a virtual certainty </w:t>
      </w:r>
      <w:r w:rsidR="004F5B66">
        <w:rPr>
          <w:i/>
        </w:rPr>
        <w:t>–</w:t>
      </w:r>
      <w:r w:rsidRPr="004F5B66">
        <w:rPr>
          <w:i/>
        </w:rPr>
        <w:t xml:space="preserve"> inevitable</w:t>
      </w:r>
    </w:p>
    <w:p w14:paraId="70CDECA9" w14:textId="410A1112" w:rsidR="001F1F15" w:rsidRPr="004F5B66" w:rsidRDefault="001F1F15" w:rsidP="004F5B66">
      <w:pPr>
        <w:pStyle w:val="ListParagraph"/>
        <w:numPr>
          <w:ilvl w:val="0"/>
          <w:numId w:val="21"/>
        </w:numPr>
        <w:rPr>
          <w:i/>
        </w:rPr>
      </w:pPr>
      <w:r w:rsidRPr="004F5B66">
        <w:rPr>
          <w:i/>
        </w:rPr>
        <w:t>Be careful to have guidelines and a clearly defined process to obtain these inputs</w:t>
      </w:r>
    </w:p>
    <w:p w14:paraId="527AB2B7" w14:textId="11AD7C31" w:rsidR="001F1F15" w:rsidRDefault="001F1F15" w:rsidP="004F5B66">
      <w:pPr>
        <w:pStyle w:val="ListParagraph"/>
        <w:rPr>
          <w:i/>
        </w:rPr>
      </w:pPr>
      <w:r w:rsidRPr="001F1F15">
        <w:rPr>
          <w:i/>
        </w:rPr>
        <w:t>Improve consistency over entire pipeline system</w:t>
      </w:r>
      <w:r w:rsidR="004F5B66">
        <w:rPr>
          <w:i/>
        </w:rPr>
        <w:t xml:space="preserve"> and o</w:t>
      </w:r>
      <w:r w:rsidRPr="004F5B66">
        <w:rPr>
          <w:i/>
        </w:rPr>
        <w:t>ptimize future SME input from different personnel</w:t>
      </w:r>
    </w:p>
    <w:p w14:paraId="1AF8AA59" w14:textId="179831A1" w:rsidR="001F1F15" w:rsidRPr="004F5B66" w:rsidRDefault="001F1F15" w:rsidP="004F5B66">
      <w:pPr>
        <w:pStyle w:val="ListParagraph"/>
        <w:numPr>
          <w:ilvl w:val="0"/>
          <w:numId w:val="21"/>
        </w:numPr>
        <w:rPr>
          <w:i/>
        </w:rPr>
      </w:pPr>
      <w:r w:rsidRPr="004F5B66">
        <w:rPr>
          <w:i/>
        </w:rPr>
        <w:t>Detailed process descriptions will help reduce scatter/uncertainty in SME collected data</w:t>
      </w:r>
    </w:p>
    <w:p w14:paraId="6E4D6F99" w14:textId="021AE736" w:rsidR="004C2C5E" w:rsidRPr="008E43C2" w:rsidRDefault="004C2C5E" w:rsidP="004C2C5E">
      <w:pPr>
        <w:ind w:left="360"/>
        <w:rPr>
          <w:i/>
        </w:rPr>
      </w:pPr>
      <w:r w:rsidRPr="008E43C2">
        <w:rPr>
          <w:i/>
        </w:rPr>
        <w:t>Team discussion:</w:t>
      </w:r>
    </w:p>
    <w:p w14:paraId="16F977AC" w14:textId="089BC96A" w:rsidR="0014678C" w:rsidRDefault="0014678C" w:rsidP="004C2C5E">
      <w:pPr>
        <w:pStyle w:val="ListParagraph"/>
        <w:numPr>
          <w:ilvl w:val="0"/>
          <w:numId w:val="9"/>
        </w:numPr>
        <w:rPr>
          <w:i/>
        </w:rPr>
      </w:pPr>
      <w:r>
        <w:rPr>
          <w:i/>
        </w:rPr>
        <w:lastRenderedPageBreak/>
        <w:t>Encourage</w:t>
      </w:r>
      <w:r w:rsidR="004F5B66">
        <w:rPr>
          <w:i/>
        </w:rPr>
        <w:t>d</w:t>
      </w:r>
      <w:r>
        <w:rPr>
          <w:i/>
        </w:rPr>
        <w:t xml:space="preserve"> </w:t>
      </w:r>
      <w:r w:rsidR="004F5B66">
        <w:rPr>
          <w:i/>
        </w:rPr>
        <w:t xml:space="preserve">a </w:t>
      </w:r>
      <w:r>
        <w:rPr>
          <w:i/>
        </w:rPr>
        <w:t>specific section on SME input in the technical guidelines documents</w:t>
      </w:r>
      <w:r w:rsidR="004F5B66">
        <w:rPr>
          <w:i/>
        </w:rPr>
        <w:t>.</w:t>
      </w:r>
    </w:p>
    <w:p w14:paraId="79C48B51" w14:textId="7FC2026C" w:rsidR="002C02E4" w:rsidRDefault="003A063C" w:rsidP="004C2C5E">
      <w:pPr>
        <w:pStyle w:val="ListParagraph"/>
        <w:numPr>
          <w:ilvl w:val="0"/>
          <w:numId w:val="9"/>
        </w:numPr>
        <w:rPr>
          <w:i/>
        </w:rPr>
      </w:pPr>
      <w:r>
        <w:rPr>
          <w:i/>
        </w:rPr>
        <w:t xml:space="preserve">TCPL: Update SME input/results on annual basis; </w:t>
      </w:r>
      <w:r w:rsidR="00BE5B88">
        <w:rPr>
          <w:i/>
        </w:rPr>
        <w:t>(because SME knowledge should and will change with time just as data changes with time); understand the limits of applicability of the SME input as it depends on the expert’s realm of experience (often specific to the system they are familiar with but should not be applied to other systems); check SME input with data and vice versa as both have limits of applicability and a limited framework in which it is relevant; work to get SME input results to converge in a reasonable manner (e.g., by regression against historical failure data trending).</w:t>
      </w:r>
    </w:p>
    <w:p w14:paraId="776B3EAE" w14:textId="77777777" w:rsidR="008E43C2" w:rsidRDefault="008E43C2" w:rsidP="008E43C2">
      <w:pPr>
        <w:pStyle w:val="ListParagraph"/>
        <w:ind w:left="360"/>
      </w:pPr>
    </w:p>
    <w:p w14:paraId="6C05158C" w14:textId="1709D3B2" w:rsidR="00C24CB9" w:rsidRPr="00344669" w:rsidRDefault="00C24CB9" w:rsidP="008F556C">
      <w:pPr>
        <w:pStyle w:val="ListParagraph"/>
        <w:numPr>
          <w:ilvl w:val="0"/>
          <w:numId w:val="1"/>
        </w:numPr>
      </w:pPr>
      <w:r w:rsidRPr="00344669">
        <w:t>Technical Presentation #2</w:t>
      </w:r>
      <w:r w:rsidR="0004469C" w:rsidRPr="00344669">
        <w:t>:</w:t>
      </w:r>
      <w:r w:rsidR="004C2C5E" w:rsidRPr="004C2C5E">
        <w:t xml:space="preserve"> </w:t>
      </w:r>
      <w:r w:rsidR="008F556C">
        <w:t>Index Models and Applications (</w:t>
      </w:r>
      <w:r w:rsidR="00952FB2">
        <w:t xml:space="preserve">Trevor MacFarlane and </w:t>
      </w:r>
      <w:r w:rsidR="008F556C" w:rsidRPr="008F556C">
        <w:t>Patrick Vieth</w:t>
      </w:r>
      <w:r w:rsidR="008F556C">
        <w:t xml:space="preserve">; </w:t>
      </w:r>
      <w:r w:rsidR="008F556C" w:rsidRPr="008F556C">
        <w:t>Dynamic Risk)</w:t>
      </w:r>
    </w:p>
    <w:p w14:paraId="3D04CAD6" w14:textId="57892E41" w:rsidR="002F42AD" w:rsidRDefault="003A063C" w:rsidP="008F556C">
      <w:pPr>
        <w:pStyle w:val="ListParagraph"/>
        <w:ind w:left="360"/>
        <w:rPr>
          <w:i/>
        </w:rPr>
      </w:pPr>
      <w:r>
        <w:rPr>
          <w:i/>
        </w:rPr>
        <w:t xml:space="preserve">Using relative index models – </w:t>
      </w:r>
      <w:r w:rsidR="00717D15">
        <w:rPr>
          <w:i/>
        </w:rPr>
        <w:t>L</w:t>
      </w:r>
      <w:r>
        <w:rPr>
          <w:i/>
        </w:rPr>
        <w:t xml:space="preserve">imitations and </w:t>
      </w:r>
      <w:r w:rsidR="00717D15">
        <w:rPr>
          <w:i/>
        </w:rPr>
        <w:t>Strengths</w:t>
      </w:r>
    </w:p>
    <w:p w14:paraId="7D0A280C" w14:textId="745F9F98" w:rsidR="007E2FBC" w:rsidRDefault="007E2FBC" w:rsidP="008F556C">
      <w:pPr>
        <w:pStyle w:val="ListParagraph"/>
        <w:ind w:left="360"/>
        <w:rPr>
          <w:i/>
        </w:rPr>
      </w:pPr>
    </w:p>
    <w:p w14:paraId="5A8DF10E" w14:textId="386EC693" w:rsidR="003A063C" w:rsidRDefault="003A063C" w:rsidP="008F556C">
      <w:pPr>
        <w:pStyle w:val="ListParagraph"/>
        <w:ind w:left="360"/>
        <w:rPr>
          <w:i/>
        </w:rPr>
      </w:pPr>
      <w:r>
        <w:rPr>
          <w:i/>
        </w:rPr>
        <w:t xml:space="preserve">Evolution of risk analysis – </w:t>
      </w:r>
      <w:r w:rsidR="007E2FBC">
        <w:rPr>
          <w:i/>
        </w:rPr>
        <w:t xml:space="preserve">moving toward risk-based decision making, enterprise risk management, corporate sustainability.  Have better technology/IT systems that facilitate data integration, </w:t>
      </w:r>
      <w:r w:rsidR="00FA74D4">
        <w:rPr>
          <w:i/>
        </w:rPr>
        <w:t xml:space="preserve">have a </w:t>
      </w:r>
      <w:r w:rsidR="007E2FBC">
        <w:rPr>
          <w:i/>
        </w:rPr>
        <w:t>lot of direct (e.g., ILI) inspection results.  Overall objectives of risk models ultimately result in improved system reliability and elimination of high impact events.</w:t>
      </w:r>
    </w:p>
    <w:p w14:paraId="2B346FE4" w14:textId="12383614" w:rsidR="003A063C" w:rsidRDefault="003A063C" w:rsidP="008F556C">
      <w:pPr>
        <w:pStyle w:val="ListParagraph"/>
        <w:ind w:left="360"/>
        <w:rPr>
          <w:i/>
        </w:rPr>
      </w:pPr>
    </w:p>
    <w:p w14:paraId="117F4F9F" w14:textId="0DF41CBC" w:rsidR="003A063C" w:rsidRDefault="003A063C" w:rsidP="008F556C">
      <w:pPr>
        <w:pStyle w:val="ListParagraph"/>
        <w:ind w:left="360"/>
        <w:rPr>
          <w:i/>
        </w:rPr>
      </w:pPr>
      <w:r>
        <w:rPr>
          <w:i/>
        </w:rPr>
        <w:t xml:space="preserve">New definition of risk models – </w:t>
      </w:r>
      <w:r w:rsidR="007E2FBC">
        <w:rPr>
          <w:i/>
        </w:rPr>
        <w:t>Not either/or terminology, but more of a continuum.  Suggest three terms – qualitative, semi-quantitative, quantitative.  Most operat</w:t>
      </w:r>
      <w:r w:rsidR="00FA74D4">
        <w:rPr>
          <w:i/>
        </w:rPr>
        <w:t>ors lie in the middle somewhere, with quantitative work sometimes behind a simple factor that gets applied in an index type of approach.</w:t>
      </w:r>
    </w:p>
    <w:p w14:paraId="179CAB80" w14:textId="4FAD20EE" w:rsidR="003A063C" w:rsidRDefault="003A063C" w:rsidP="008F556C">
      <w:pPr>
        <w:pStyle w:val="ListParagraph"/>
        <w:ind w:left="360"/>
        <w:rPr>
          <w:i/>
        </w:rPr>
      </w:pPr>
    </w:p>
    <w:p w14:paraId="3FD535C2" w14:textId="783F4A56" w:rsidR="00FE2501" w:rsidRDefault="00FE2501" w:rsidP="008F556C">
      <w:pPr>
        <w:pStyle w:val="ListParagraph"/>
        <w:ind w:left="360"/>
        <w:rPr>
          <w:i/>
        </w:rPr>
      </w:pPr>
      <w:r>
        <w:rPr>
          <w:i/>
        </w:rPr>
        <w:t xml:space="preserve">For example, B31.8S </w:t>
      </w:r>
      <w:r w:rsidR="007D3423">
        <w:rPr>
          <w:i/>
        </w:rPr>
        <w:t xml:space="preserve">may have a general </w:t>
      </w:r>
      <w:r w:rsidR="00806CCC">
        <w:rPr>
          <w:i/>
        </w:rPr>
        <w:t xml:space="preserve">ILI </w:t>
      </w:r>
      <w:r w:rsidR="007D3423">
        <w:rPr>
          <w:i/>
        </w:rPr>
        <w:t xml:space="preserve">inspection factor – might treat as a generic factor, but really </w:t>
      </w:r>
      <w:r w:rsidR="00F070F0">
        <w:rPr>
          <w:i/>
        </w:rPr>
        <w:t xml:space="preserve">is better to use the </w:t>
      </w:r>
      <w:r w:rsidR="007D3423">
        <w:rPr>
          <w:i/>
        </w:rPr>
        <w:t>ILI data</w:t>
      </w:r>
      <w:r w:rsidR="00F070F0">
        <w:rPr>
          <w:i/>
        </w:rPr>
        <w:t xml:space="preserve"> to</w:t>
      </w:r>
      <w:r w:rsidR="007D3423">
        <w:rPr>
          <w:i/>
        </w:rPr>
        <w:t xml:space="preserve"> better characterize the actual condition of the line (e.g., one segment may have a </w:t>
      </w:r>
      <w:r w:rsidR="00806CCC">
        <w:rPr>
          <w:i/>
        </w:rPr>
        <w:t>much higher density of</w:t>
      </w:r>
      <w:r w:rsidR="007D3423">
        <w:rPr>
          <w:i/>
        </w:rPr>
        <w:t xml:space="preserve"> below-threshold anomalies, vs. on</w:t>
      </w:r>
      <w:r w:rsidR="00806CCC">
        <w:rPr>
          <w:i/>
        </w:rPr>
        <w:t>e</w:t>
      </w:r>
      <w:r w:rsidR="007D3423">
        <w:rPr>
          <w:i/>
        </w:rPr>
        <w:t xml:space="preserve"> that has </w:t>
      </w:r>
      <w:r w:rsidR="00806CCC">
        <w:rPr>
          <w:i/>
        </w:rPr>
        <w:t>a small number of</w:t>
      </w:r>
      <w:r w:rsidR="007D3423">
        <w:rPr>
          <w:i/>
        </w:rPr>
        <w:t xml:space="preserve"> below-threshold, anomalies</w:t>
      </w:r>
      <w:r w:rsidR="00F070F0">
        <w:rPr>
          <w:i/>
        </w:rPr>
        <w:t>; these should be treated differently in a risk model</w:t>
      </w:r>
      <w:r w:rsidR="004372FE">
        <w:rPr>
          <w:i/>
        </w:rPr>
        <w:t>)</w:t>
      </w:r>
      <w:r w:rsidR="007D3423">
        <w:rPr>
          <w:i/>
        </w:rPr>
        <w:t>.</w:t>
      </w:r>
      <w:r w:rsidR="00F420AE">
        <w:rPr>
          <w:i/>
        </w:rPr>
        <w:t xml:space="preserve">  This level of information can drive the simple factor entered into a B31.8S type of model.</w:t>
      </w:r>
    </w:p>
    <w:p w14:paraId="0E383EAB" w14:textId="1EC8DB2C" w:rsidR="00A267F9" w:rsidRDefault="00A267F9" w:rsidP="008F556C">
      <w:pPr>
        <w:pStyle w:val="ListParagraph"/>
        <w:ind w:left="360"/>
        <w:rPr>
          <w:i/>
        </w:rPr>
      </w:pPr>
    </w:p>
    <w:p w14:paraId="1A8CF18A" w14:textId="5F8EF371" w:rsidR="00A267F9" w:rsidRDefault="00A267F9" w:rsidP="008F556C">
      <w:pPr>
        <w:pStyle w:val="ListParagraph"/>
        <w:ind w:left="360"/>
        <w:rPr>
          <w:i/>
        </w:rPr>
      </w:pPr>
      <w:r>
        <w:rPr>
          <w:i/>
        </w:rPr>
        <w:t>Approach often uses OR logic to sum elements of risk, vs. weighting factors (that tend to minimize outliers).</w:t>
      </w:r>
      <w:r w:rsidR="000469A9">
        <w:rPr>
          <w:i/>
        </w:rPr>
        <w:t xml:space="preserve">  (</w:t>
      </w:r>
      <w:r w:rsidR="00F070F0">
        <w:rPr>
          <w:i/>
        </w:rPr>
        <w:t xml:space="preserve">With use of OR logic, the </w:t>
      </w:r>
      <w:r w:rsidR="000469A9">
        <w:rPr>
          <w:i/>
        </w:rPr>
        <w:t>sum cannot be less than the single-highest factor).</w:t>
      </w:r>
    </w:p>
    <w:p w14:paraId="15A18249" w14:textId="700FE423" w:rsidR="000469A9" w:rsidRDefault="000469A9" w:rsidP="008F556C">
      <w:pPr>
        <w:pStyle w:val="ListParagraph"/>
        <w:ind w:left="360"/>
        <w:rPr>
          <w:i/>
        </w:rPr>
      </w:pPr>
    </w:p>
    <w:p w14:paraId="692A0FB1" w14:textId="6AA36424" w:rsidR="004372FE" w:rsidRDefault="004372FE" w:rsidP="008F556C">
      <w:pPr>
        <w:pStyle w:val="ListParagraph"/>
        <w:ind w:left="360"/>
        <w:rPr>
          <w:i/>
        </w:rPr>
      </w:pPr>
      <w:r>
        <w:rPr>
          <w:i/>
        </w:rPr>
        <w:t xml:space="preserve">Also showed event tree approach for external strike risk – enables impact on P&amp;M measures, that can be expressed as a simple factor in a B31.8S type of approach.  </w:t>
      </w:r>
    </w:p>
    <w:p w14:paraId="6AB8448E" w14:textId="77777777" w:rsidR="004372FE" w:rsidRDefault="004372FE" w:rsidP="008F556C">
      <w:pPr>
        <w:pStyle w:val="ListParagraph"/>
        <w:ind w:left="360"/>
        <w:rPr>
          <w:i/>
        </w:rPr>
      </w:pPr>
    </w:p>
    <w:p w14:paraId="448446DB" w14:textId="1D01D9FA" w:rsidR="00FE2501" w:rsidRDefault="000C1530" w:rsidP="008F556C">
      <w:pPr>
        <w:pStyle w:val="ListParagraph"/>
        <w:ind w:left="360"/>
        <w:rPr>
          <w:i/>
        </w:rPr>
      </w:pPr>
      <w:r>
        <w:rPr>
          <w:i/>
        </w:rPr>
        <w:t>This type of scoring, as applied to Index/relative models can help prioritize P&amp;M measures via cost-benefit via “hur</w:t>
      </w:r>
      <w:r w:rsidR="00F070F0">
        <w:rPr>
          <w:i/>
        </w:rPr>
        <w:t>dle rate.”</w:t>
      </w:r>
    </w:p>
    <w:p w14:paraId="6B140CC8" w14:textId="77777777" w:rsidR="00F070F0" w:rsidRDefault="00F070F0" w:rsidP="008F556C">
      <w:pPr>
        <w:pStyle w:val="ListParagraph"/>
        <w:ind w:left="360"/>
        <w:rPr>
          <w:i/>
        </w:rPr>
      </w:pPr>
    </w:p>
    <w:p w14:paraId="03C6A1AF" w14:textId="69F6715E" w:rsidR="000C1530" w:rsidRDefault="00F070F0" w:rsidP="008F556C">
      <w:pPr>
        <w:pStyle w:val="ListParagraph"/>
        <w:ind w:left="360"/>
        <w:rPr>
          <w:i/>
        </w:rPr>
      </w:pPr>
      <w:r>
        <w:rPr>
          <w:i/>
        </w:rPr>
        <w:t>Low frequency high consequence (</w:t>
      </w:r>
      <w:r w:rsidR="00775DC4">
        <w:rPr>
          <w:i/>
        </w:rPr>
        <w:t>LFHC</w:t>
      </w:r>
      <w:r>
        <w:rPr>
          <w:i/>
        </w:rPr>
        <w:t>)</w:t>
      </w:r>
      <w:r w:rsidR="00775DC4">
        <w:rPr>
          <w:i/>
        </w:rPr>
        <w:t xml:space="preserve"> events: analogy of fire triangle (O2, heat, fuel) – assume have high consequence event, and ask “what would we do?”  </w:t>
      </w:r>
      <w:r w:rsidR="0053520D">
        <w:rPr>
          <w:i/>
        </w:rPr>
        <w:t>E.g., corrosive HL transport, need to prevent buildup of corrosion products as specific locations, so concentrate on that aspect</w:t>
      </w:r>
      <w:r>
        <w:rPr>
          <w:i/>
        </w:rPr>
        <w:t xml:space="preserve"> to model/reduce risk</w:t>
      </w:r>
      <w:r w:rsidR="0053520D">
        <w:rPr>
          <w:i/>
        </w:rPr>
        <w:t>.</w:t>
      </w:r>
    </w:p>
    <w:p w14:paraId="31CD3FFF" w14:textId="77777777" w:rsidR="00775DC4" w:rsidRDefault="00775DC4" w:rsidP="008F556C">
      <w:pPr>
        <w:pStyle w:val="ListParagraph"/>
        <w:ind w:left="360"/>
        <w:rPr>
          <w:i/>
        </w:rPr>
      </w:pPr>
    </w:p>
    <w:p w14:paraId="36B5ABA8" w14:textId="7256A612" w:rsidR="003A063C" w:rsidRDefault="007E2FBC" w:rsidP="008F556C">
      <w:pPr>
        <w:pStyle w:val="ListParagraph"/>
        <w:ind w:left="360"/>
        <w:rPr>
          <w:i/>
        </w:rPr>
      </w:pPr>
      <w:r>
        <w:rPr>
          <w:i/>
        </w:rPr>
        <w:lastRenderedPageBreak/>
        <w:t xml:space="preserve">The performance break-through – </w:t>
      </w:r>
      <w:r w:rsidR="00F070F0">
        <w:rPr>
          <w:i/>
        </w:rPr>
        <w:t>Noted they have o</w:t>
      </w:r>
      <w:r w:rsidR="00A6497C">
        <w:rPr>
          <w:i/>
        </w:rPr>
        <w:t xml:space="preserve">bserved no difference in </w:t>
      </w:r>
      <w:r w:rsidR="00F070F0">
        <w:rPr>
          <w:i/>
        </w:rPr>
        <w:t xml:space="preserve">selection of </w:t>
      </w:r>
      <w:r w:rsidR="00A6497C">
        <w:rPr>
          <w:i/>
        </w:rPr>
        <w:t xml:space="preserve">risk model </w:t>
      </w:r>
      <w:r w:rsidR="00F070F0">
        <w:rPr>
          <w:i/>
        </w:rPr>
        <w:t xml:space="preserve">approach </w:t>
      </w:r>
      <w:r w:rsidR="00A6497C">
        <w:rPr>
          <w:i/>
        </w:rPr>
        <w:t xml:space="preserve">vs. high impact </w:t>
      </w:r>
      <w:r w:rsidR="00F070F0">
        <w:rPr>
          <w:i/>
        </w:rPr>
        <w:t xml:space="preserve">pipeline </w:t>
      </w:r>
      <w:r w:rsidR="00A6497C">
        <w:rPr>
          <w:i/>
        </w:rPr>
        <w:t xml:space="preserve">release performance.  Difference is </w:t>
      </w:r>
      <w:r w:rsidR="00F070F0">
        <w:rPr>
          <w:i/>
        </w:rPr>
        <w:t xml:space="preserve">that </w:t>
      </w:r>
      <w:r w:rsidR="00A6497C">
        <w:rPr>
          <w:i/>
        </w:rPr>
        <w:t xml:space="preserve">companies that </w:t>
      </w:r>
      <w:r w:rsidR="00F070F0">
        <w:rPr>
          <w:i/>
        </w:rPr>
        <w:t xml:space="preserve">actually </w:t>
      </w:r>
      <w:r w:rsidR="00A6497C">
        <w:rPr>
          <w:i/>
        </w:rPr>
        <w:t>use risk analysis to support IM planning and decision making achieve the best reliability record.</w:t>
      </w:r>
      <w:r w:rsidR="00806CCC">
        <w:rPr>
          <w:i/>
        </w:rPr>
        <w:t xml:space="preserve">  This assumes a base-level of sophistication in the risk model</w:t>
      </w:r>
      <w:r w:rsidR="009E5F99">
        <w:rPr>
          <w:i/>
        </w:rPr>
        <w:t xml:space="preserve"> (</w:t>
      </w:r>
      <w:r w:rsidR="00806CCC">
        <w:rPr>
          <w:i/>
        </w:rPr>
        <w:t>very simple risk models will have difficulty identifying true high-risk situations</w:t>
      </w:r>
      <w:r w:rsidR="009E5F99">
        <w:rPr>
          <w:i/>
        </w:rPr>
        <w:t>)</w:t>
      </w:r>
      <w:r w:rsidR="00806CCC">
        <w:rPr>
          <w:i/>
        </w:rPr>
        <w:t>.</w:t>
      </w:r>
    </w:p>
    <w:p w14:paraId="50ECCA0C" w14:textId="77777777" w:rsidR="004C2C5E" w:rsidRPr="0044638A" w:rsidRDefault="004C2C5E" w:rsidP="004C2C5E">
      <w:pPr>
        <w:ind w:left="360"/>
        <w:rPr>
          <w:i/>
        </w:rPr>
      </w:pPr>
      <w:r w:rsidRPr="0044638A">
        <w:rPr>
          <w:i/>
        </w:rPr>
        <w:t>Team discussion:</w:t>
      </w:r>
    </w:p>
    <w:p w14:paraId="7F663F72" w14:textId="77777777" w:rsidR="006F6506" w:rsidRDefault="0004506F" w:rsidP="000012D1">
      <w:pPr>
        <w:pStyle w:val="ListParagraph"/>
        <w:numPr>
          <w:ilvl w:val="0"/>
          <w:numId w:val="9"/>
        </w:numPr>
        <w:rPr>
          <w:i/>
        </w:rPr>
      </w:pPr>
      <w:r w:rsidRPr="004845CD">
        <w:rPr>
          <w:i/>
        </w:rPr>
        <w:t xml:space="preserve">For event-tree approach, how assign probabilities?  SME, other?  Looked at TPD events and analyzed to get the assumed probabilities.  </w:t>
      </w:r>
      <w:r w:rsidR="00EA06FD" w:rsidRPr="004845CD">
        <w:rPr>
          <w:i/>
        </w:rPr>
        <w:t>SME input is valuable, but look for data first and then supplement with appropriate SME input.</w:t>
      </w:r>
    </w:p>
    <w:p w14:paraId="6FE0E3D1" w14:textId="77777777" w:rsidR="006F6506" w:rsidRPr="006F6506" w:rsidRDefault="006F6506" w:rsidP="006F6506">
      <w:pPr>
        <w:pStyle w:val="ListParagraph"/>
        <w:rPr>
          <w:i/>
          <w:sz w:val="16"/>
          <w:szCs w:val="16"/>
        </w:rPr>
      </w:pPr>
    </w:p>
    <w:p w14:paraId="3E36D30C" w14:textId="04FCB7BC" w:rsidR="00661E06" w:rsidRDefault="00661E06" w:rsidP="006F6506">
      <w:pPr>
        <w:pStyle w:val="ListParagraph"/>
        <w:rPr>
          <w:i/>
        </w:rPr>
      </w:pPr>
      <w:r w:rsidRPr="004845CD">
        <w:rPr>
          <w:i/>
        </w:rPr>
        <w:t xml:space="preserve">Discussion pointed out that quantitative risk can be easier for site-specific applications, than for more generic system-wide applications.  </w:t>
      </w:r>
    </w:p>
    <w:p w14:paraId="5671386B" w14:textId="77777777" w:rsidR="006F6506" w:rsidRPr="006F6506" w:rsidRDefault="006F6506" w:rsidP="006F6506">
      <w:pPr>
        <w:pStyle w:val="ListParagraph"/>
        <w:rPr>
          <w:i/>
          <w:sz w:val="16"/>
          <w:szCs w:val="16"/>
        </w:rPr>
      </w:pPr>
    </w:p>
    <w:p w14:paraId="6475D639" w14:textId="2952541A" w:rsidR="0004506F" w:rsidRDefault="008F3F35" w:rsidP="008F556C">
      <w:pPr>
        <w:pStyle w:val="ListParagraph"/>
        <w:numPr>
          <w:ilvl w:val="0"/>
          <w:numId w:val="9"/>
        </w:numPr>
        <w:rPr>
          <w:i/>
        </w:rPr>
      </w:pPr>
      <w:r>
        <w:rPr>
          <w:i/>
        </w:rPr>
        <w:t xml:space="preserve">How treat information that is not available or readily applicable?  </w:t>
      </w:r>
      <w:r w:rsidR="00792452">
        <w:rPr>
          <w:i/>
        </w:rPr>
        <w:t>Absence of information is an indicator of higher risk.  Address by assigning a higher “risk” to those variables (know what you don’t know), which drivers risk profile and results in the gathering of better information.</w:t>
      </w:r>
    </w:p>
    <w:p w14:paraId="57FE9225" w14:textId="2BC20454" w:rsidR="004B3F47" w:rsidRDefault="00847450" w:rsidP="008F556C">
      <w:pPr>
        <w:pStyle w:val="ListParagraph"/>
        <w:numPr>
          <w:ilvl w:val="0"/>
          <w:numId w:val="9"/>
        </w:numPr>
        <w:rPr>
          <w:i/>
        </w:rPr>
      </w:pPr>
      <w:r>
        <w:rPr>
          <w:i/>
        </w:rPr>
        <w:t>Management of Change and continuous improvement are important for a company to have successful management of risk – i.e., results in a culture of improvement and looking to reduce risk.</w:t>
      </w:r>
    </w:p>
    <w:p w14:paraId="4D2CE148" w14:textId="0AE3109D" w:rsidR="00241910" w:rsidRDefault="00241910" w:rsidP="008F556C">
      <w:pPr>
        <w:pStyle w:val="ListParagraph"/>
        <w:numPr>
          <w:ilvl w:val="0"/>
          <w:numId w:val="9"/>
        </w:numPr>
        <w:rPr>
          <w:i/>
        </w:rPr>
      </w:pPr>
      <w:r>
        <w:rPr>
          <w:i/>
        </w:rPr>
        <w:t>Should not only question/qualify SME input, should also question/qualify industry/generic data to</w:t>
      </w:r>
      <w:r w:rsidR="00282A8C">
        <w:rPr>
          <w:i/>
        </w:rPr>
        <w:t xml:space="preserve"> make sure is really applicable to the specific line segment being modeled.</w:t>
      </w:r>
    </w:p>
    <w:p w14:paraId="583737BE" w14:textId="7BD3BC19" w:rsidR="00EC6186" w:rsidRDefault="006D6549" w:rsidP="008F556C">
      <w:pPr>
        <w:pStyle w:val="ListParagraph"/>
        <w:numPr>
          <w:ilvl w:val="0"/>
          <w:numId w:val="9"/>
        </w:numPr>
        <w:rPr>
          <w:i/>
        </w:rPr>
      </w:pPr>
      <w:r>
        <w:rPr>
          <w:i/>
        </w:rPr>
        <w:t>C</w:t>
      </w:r>
      <w:r w:rsidR="00EC6186">
        <w:rPr>
          <w:i/>
        </w:rPr>
        <w:t xml:space="preserve">ritical, essential elements of any risk process </w:t>
      </w:r>
      <w:r>
        <w:rPr>
          <w:i/>
        </w:rPr>
        <w:t xml:space="preserve">include </w:t>
      </w:r>
      <w:r w:rsidR="00EC6186">
        <w:rPr>
          <w:i/>
        </w:rPr>
        <w:t xml:space="preserve">– leveraging actual </w:t>
      </w:r>
      <w:r w:rsidR="00A925EB">
        <w:rPr>
          <w:i/>
        </w:rPr>
        <w:t xml:space="preserve">ILI information, </w:t>
      </w:r>
      <w:r>
        <w:rPr>
          <w:i/>
        </w:rPr>
        <w:t xml:space="preserve">and </w:t>
      </w:r>
      <w:r w:rsidR="00A925EB">
        <w:rPr>
          <w:i/>
        </w:rPr>
        <w:t>look</w:t>
      </w:r>
      <w:r>
        <w:rPr>
          <w:i/>
        </w:rPr>
        <w:t>ing</w:t>
      </w:r>
      <w:r w:rsidR="00A925EB">
        <w:rPr>
          <w:i/>
        </w:rPr>
        <w:t xml:space="preserve"> at each threat category individually in addition to overall system risk (tends to get muted in index type of approaches).  </w:t>
      </w:r>
      <w:r w:rsidR="00A925EB" w:rsidRPr="006D6549">
        <w:rPr>
          <w:i/>
          <w:u w:val="single"/>
        </w:rPr>
        <w:t>Why</w:t>
      </w:r>
      <w:r w:rsidR="00A925EB">
        <w:rPr>
          <w:i/>
        </w:rPr>
        <w:t xml:space="preserve"> doing </w:t>
      </w:r>
      <w:r>
        <w:rPr>
          <w:i/>
        </w:rPr>
        <w:t xml:space="preserve">a </w:t>
      </w:r>
      <w:r w:rsidR="00A925EB">
        <w:rPr>
          <w:i/>
        </w:rPr>
        <w:t>particular risk analysis often drives the method.</w:t>
      </w:r>
    </w:p>
    <w:p w14:paraId="365771D6" w14:textId="319058E9" w:rsidR="004D21F9" w:rsidRDefault="004D21F9" w:rsidP="008F556C">
      <w:pPr>
        <w:pStyle w:val="ListParagraph"/>
        <w:numPr>
          <w:ilvl w:val="0"/>
          <w:numId w:val="9"/>
        </w:numPr>
        <w:rPr>
          <w:i/>
        </w:rPr>
      </w:pPr>
      <w:r>
        <w:rPr>
          <w:i/>
        </w:rPr>
        <w:t xml:space="preserve">How incorporate inspection data for things not piggable?  Approaches include proxy data sets for similar piping, </w:t>
      </w:r>
      <w:r w:rsidR="001B63EA">
        <w:rPr>
          <w:i/>
        </w:rPr>
        <w:t xml:space="preserve">looking at </w:t>
      </w:r>
      <w:r>
        <w:rPr>
          <w:i/>
        </w:rPr>
        <w:t>CP current levels, etc.  Lack of information should be reflected in risk results.</w:t>
      </w:r>
      <w:r w:rsidR="00991AC6">
        <w:rPr>
          <w:i/>
        </w:rPr>
        <w:t xml:space="preserve">  Look for statistically valid sample of limited data from system to help characterize.</w:t>
      </w:r>
    </w:p>
    <w:p w14:paraId="24716A8C" w14:textId="3D3E97E6" w:rsidR="00571F32" w:rsidRPr="008F556C" w:rsidRDefault="00571F32" w:rsidP="008F556C">
      <w:pPr>
        <w:pStyle w:val="ListParagraph"/>
        <w:numPr>
          <w:ilvl w:val="0"/>
          <w:numId w:val="9"/>
        </w:numPr>
        <w:rPr>
          <w:i/>
        </w:rPr>
      </w:pPr>
      <w:r>
        <w:rPr>
          <w:i/>
        </w:rPr>
        <w:t xml:space="preserve">Overall </w:t>
      </w:r>
      <w:r w:rsidR="001B63EA">
        <w:rPr>
          <w:i/>
        </w:rPr>
        <w:t xml:space="preserve">(per Vieth) </w:t>
      </w:r>
      <w:r>
        <w:rPr>
          <w:i/>
        </w:rPr>
        <w:t>– underlying engine should be quantitative, but can be expressed as a more basic/simple factor to be used in a more qualitative type of model.</w:t>
      </w:r>
      <w:r w:rsidR="00AC7401">
        <w:rPr>
          <w:i/>
        </w:rPr>
        <w:t xml:space="preserve">  Is essentially a semi-quantitative </w:t>
      </w:r>
      <w:r w:rsidR="001B63EA">
        <w:rPr>
          <w:i/>
        </w:rPr>
        <w:t>approach</w:t>
      </w:r>
      <w:r w:rsidR="00664B3A">
        <w:rPr>
          <w:i/>
        </w:rPr>
        <w:t>.</w:t>
      </w:r>
    </w:p>
    <w:p w14:paraId="7DA919C0" w14:textId="77777777" w:rsidR="008F3F35" w:rsidRPr="00344669" w:rsidRDefault="008F3F35" w:rsidP="00FF56B7">
      <w:pPr>
        <w:pStyle w:val="ListParagraph"/>
        <w:ind w:left="360"/>
      </w:pPr>
    </w:p>
    <w:p w14:paraId="304DFB68" w14:textId="2815ED2C" w:rsidR="00C24CB9" w:rsidRPr="00344669" w:rsidRDefault="00C24CB9" w:rsidP="008F556C">
      <w:pPr>
        <w:pStyle w:val="ListParagraph"/>
        <w:numPr>
          <w:ilvl w:val="0"/>
          <w:numId w:val="1"/>
        </w:numPr>
      </w:pPr>
      <w:r w:rsidRPr="00344669">
        <w:t>Technical Presentation #3</w:t>
      </w:r>
      <w:r w:rsidR="0004469C" w:rsidRPr="00344669">
        <w:t>:</w:t>
      </w:r>
      <w:r w:rsidR="008F556C">
        <w:t xml:space="preserve"> </w:t>
      </w:r>
      <w:r w:rsidR="008F556C" w:rsidRPr="008F556C">
        <w:t>Migration From Older Risk Analysis Methods to Quantitative Models</w:t>
      </w:r>
      <w:r w:rsidR="008F556C" w:rsidRPr="008F556C">
        <w:tab/>
      </w:r>
      <w:r w:rsidR="00D043A9">
        <w:t>(</w:t>
      </w:r>
      <w:r w:rsidR="008F556C" w:rsidRPr="008F556C">
        <w:t>Kent Muhlbauer</w:t>
      </w:r>
      <w:r w:rsidR="00D043A9">
        <w:t xml:space="preserve">; </w:t>
      </w:r>
      <w:r w:rsidR="008F556C" w:rsidRPr="008F556C">
        <w:t>WKM Consultancy)</w:t>
      </w:r>
    </w:p>
    <w:p w14:paraId="221F8C39" w14:textId="05AC6602" w:rsidR="00984545" w:rsidRDefault="00BE4F5F" w:rsidP="008F556C">
      <w:pPr>
        <w:pStyle w:val="ListParagraph"/>
        <w:ind w:left="360"/>
        <w:rPr>
          <w:i/>
        </w:rPr>
      </w:pPr>
      <w:r>
        <w:rPr>
          <w:i/>
        </w:rPr>
        <w:t>Quantitative models are more simple and easier to mana</w:t>
      </w:r>
      <w:r w:rsidR="00516F0F">
        <w:rPr>
          <w:i/>
        </w:rPr>
        <w:t>ge than non-quantitative models (</w:t>
      </w:r>
      <w:r w:rsidR="002603EB">
        <w:rPr>
          <w:i/>
        </w:rPr>
        <w:t xml:space="preserve">noted that </w:t>
      </w:r>
      <w:r w:rsidR="00516F0F">
        <w:rPr>
          <w:i/>
        </w:rPr>
        <w:t>pipelinerisk.net</w:t>
      </w:r>
      <w:r w:rsidR="002603EB">
        <w:rPr>
          <w:i/>
        </w:rPr>
        <w:t xml:space="preserve"> is available as a free resource for risk practitioners</w:t>
      </w:r>
      <w:r w:rsidR="00516F0F">
        <w:rPr>
          <w:i/>
        </w:rPr>
        <w:t>)</w:t>
      </w:r>
      <w:r w:rsidR="002603EB">
        <w:rPr>
          <w:i/>
        </w:rPr>
        <w:t>.</w:t>
      </w:r>
    </w:p>
    <w:p w14:paraId="41D2042A" w14:textId="77777777" w:rsidR="002603EB" w:rsidRDefault="002603EB" w:rsidP="008F556C">
      <w:pPr>
        <w:pStyle w:val="ListParagraph"/>
        <w:ind w:left="360"/>
        <w:rPr>
          <w:i/>
        </w:rPr>
      </w:pPr>
    </w:p>
    <w:p w14:paraId="22B9B845" w14:textId="72AFD6FC" w:rsidR="00BE4F5F" w:rsidRDefault="00BE4F5F" w:rsidP="008F556C">
      <w:pPr>
        <w:pStyle w:val="ListParagraph"/>
        <w:ind w:left="360"/>
        <w:rPr>
          <w:i/>
        </w:rPr>
      </w:pPr>
      <w:r>
        <w:rPr>
          <w:i/>
        </w:rPr>
        <w:t xml:space="preserve">Monetization of risk is necessary </w:t>
      </w:r>
      <w:r w:rsidR="005D7A84">
        <w:rPr>
          <w:i/>
        </w:rPr>
        <w:t>for decision makers</w:t>
      </w:r>
      <w:r>
        <w:rPr>
          <w:i/>
        </w:rPr>
        <w:t xml:space="preserve"> vs. index type of numbers</w:t>
      </w:r>
      <w:r w:rsidR="005D7A84">
        <w:rPr>
          <w:i/>
        </w:rPr>
        <w:t xml:space="preserve"> (much easier to understand </w:t>
      </w:r>
      <w:r w:rsidR="009A516F">
        <w:rPr>
          <w:i/>
        </w:rPr>
        <w:t xml:space="preserve">and communicate </w:t>
      </w:r>
      <w:r w:rsidR="00F0259F">
        <w:rPr>
          <w:i/>
        </w:rPr>
        <w:t xml:space="preserve">risk results </w:t>
      </w:r>
      <w:r w:rsidR="009A516F">
        <w:rPr>
          <w:i/>
        </w:rPr>
        <w:t xml:space="preserve">when </w:t>
      </w:r>
      <w:r w:rsidR="00F0259F">
        <w:rPr>
          <w:i/>
        </w:rPr>
        <w:t xml:space="preserve">there is </w:t>
      </w:r>
      <w:r w:rsidR="009A516F">
        <w:rPr>
          <w:i/>
        </w:rPr>
        <w:t>a tangible basis)</w:t>
      </w:r>
      <w:r>
        <w:rPr>
          <w:i/>
        </w:rPr>
        <w:t>.</w:t>
      </w:r>
    </w:p>
    <w:p w14:paraId="2CE6B507" w14:textId="77777777" w:rsidR="00A20FBE" w:rsidRDefault="00A20FBE" w:rsidP="008F556C">
      <w:pPr>
        <w:pStyle w:val="ListParagraph"/>
        <w:ind w:left="360"/>
        <w:rPr>
          <w:i/>
        </w:rPr>
      </w:pPr>
    </w:p>
    <w:p w14:paraId="2065A2E9" w14:textId="698EF8AB" w:rsidR="00BE4F5F" w:rsidRDefault="00BE4F5F" w:rsidP="008F556C">
      <w:pPr>
        <w:pStyle w:val="ListParagraph"/>
        <w:ind w:left="360"/>
        <w:rPr>
          <w:i/>
        </w:rPr>
      </w:pPr>
      <w:r>
        <w:rPr>
          <w:i/>
        </w:rPr>
        <w:t>Regulatory Standards – risk analysis is the centerpiece of IMP regulations.</w:t>
      </w:r>
    </w:p>
    <w:p w14:paraId="2179DF93" w14:textId="25DB5A35" w:rsidR="00BE4F5F" w:rsidRDefault="00516F0F" w:rsidP="008F556C">
      <w:pPr>
        <w:pStyle w:val="ListParagraph"/>
        <w:ind w:left="360"/>
        <w:rPr>
          <w:i/>
        </w:rPr>
      </w:pPr>
      <w:r>
        <w:rPr>
          <w:i/>
        </w:rPr>
        <w:tab/>
      </w:r>
      <w:r w:rsidR="003B08A6">
        <w:rPr>
          <w:i/>
        </w:rPr>
        <w:t>Is a current d</w:t>
      </w:r>
      <w:r>
        <w:rPr>
          <w:i/>
        </w:rPr>
        <w:t>isconnect between IMP objectives vs. risk analysis techniques</w:t>
      </w:r>
    </w:p>
    <w:p w14:paraId="0FB813DC" w14:textId="24A6DCEB" w:rsidR="00516F0F" w:rsidRDefault="00516F0F" w:rsidP="008F556C">
      <w:pPr>
        <w:pStyle w:val="ListParagraph"/>
        <w:ind w:left="360"/>
        <w:rPr>
          <w:i/>
        </w:rPr>
      </w:pPr>
      <w:r>
        <w:rPr>
          <w:i/>
        </w:rPr>
        <w:tab/>
        <w:t>Summar</w:t>
      </w:r>
      <w:r w:rsidR="003B08A6">
        <w:rPr>
          <w:i/>
        </w:rPr>
        <w:t xml:space="preserve">ized a set of suggested </w:t>
      </w:r>
      <w:r>
        <w:rPr>
          <w:i/>
        </w:rPr>
        <w:t>changes needed to B31.8S / API 1160</w:t>
      </w:r>
    </w:p>
    <w:p w14:paraId="204CDFCB" w14:textId="46F79C59" w:rsidR="00516F0F" w:rsidRDefault="00516F0F" w:rsidP="003B08A6">
      <w:pPr>
        <w:pStyle w:val="ListParagraph"/>
        <w:ind w:hanging="90"/>
        <w:rPr>
          <w:i/>
        </w:rPr>
      </w:pPr>
      <w:r>
        <w:rPr>
          <w:i/>
        </w:rPr>
        <w:tab/>
        <w:t xml:space="preserve">PHMSA on record criticizing index models (but </w:t>
      </w:r>
      <w:r w:rsidR="003B08A6">
        <w:rPr>
          <w:i/>
        </w:rPr>
        <w:t xml:space="preserve">are currently </w:t>
      </w:r>
      <w:r>
        <w:rPr>
          <w:i/>
        </w:rPr>
        <w:t>allowed by guidance documents such as B31.8S)</w:t>
      </w:r>
    </w:p>
    <w:p w14:paraId="1DE359DB" w14:textId="77777777" w:rsidR="00A20FBE" w:rsidRDefault="00A20FBE" w:rsidP="008F556C">
      <w:pPr>
        <w:pStyle w:val="ListParagraph"/>
        <w:ind w:left="360"/>
        <w:rPr>
          <w:i/>
        </w:rPr>
      </w:pPr>
    </w:p>
    <w:p w14:paraId="03B7E349" w14:textId="299E6E46" w:rsidR="00CE2D62" w:rsidRDefault="00A20FBE" w:rsidP="00CE2D62">
      <w:pPr>
        <w:pStyle w:val="ListParagraph"/>
        <w:ind w:left="360"/>
        <w:rPr>
          <w:i/>
        </w:rPr>
      </w:pPr>
      <w:r>
        <w:rPr>
          <w:i/>
        </w:rPr>
        <w:t xml:space="preserve">Tools vs. models – Terminology is not </w:t>
      </w:r>
      <w:r w:rsidR="00CE2D62">
        <w:rPr>
          <w:i/>
        </w:rPr>
        <w:t xml:space="preserve">consistent; instead suggest </w:t>
      </w:r>
      <w:r w:rsidR="00B8367B">
        <w:rPr>
          <w:i/>
        </w:rPr>
        <w:t xml:space="preserve">there are </w:t>
      </w:r>
      <w:r w:rsidR="00CE2D62">
        <w:rPr>
          <w:i/>
        </w:rPr>
        <w:t>only two type of models: absolute results, relative results.  Ingredients</w:t>
      </w:r>
      <w:r w:rsidR="00B8367B">
        <w:rPr>
          <w:i/>
        </w:rPr>
        <w:t xml:space="preserve"> found</w:t>
      </w:r>
      <w:r w:rsidR="00CE2D62">
        <w:rPr>
          <w:i/>
        </w:rPr>
        <w:t xml:space="preserve"> in all </w:t>
      </w:r>
      <w:r w:rsidR="00B8367B">
        <w:rPr>
          <w:i/>
        </w:rPr>
        <w:t xml:space="preserve">valid risk </w:t>
      </w:r>
      <w:r w:rsidR="00CE2D62">
        <w:rPr>
          <w:i/>
        </w:rPr>
        <w:t xml:space="preserve">models: probabilistic methods (scenarios, trees; statistics), </w:t>
      </w:r>
      <w:r w:rsidR="00B8367B">
        <w:rPr>
          <w:i/>
        </w:rPr>
        <w:t xml:space="preserve">and </w:t>
      </w:r>
      <w:r w:rsidR="00CE2D62">
        <w:rPr>
          <w:i/>
        </w:rPr>
        <w:t>SME (input and validation).</w:t>
      </w:r>
      <w:r w:rsidR="003D6070">
        <w:rPr>
          <w:i/>
        </w:rPr>
        <w:t xml:space="preserve">  Tools are not risk analysis methods – tools are scenarios, event/fault trees, etc.  </w:t>
      </w:r>
      <w:r w:rsidR="00B8367B">
        <w:rPr>
          <w:i/>
        </w:rPr>
        <w:t>What defines a r</w:t>
      </w:r>
      <w:r w:rsidR="003D6070">
        <w:rPr>
          <w:i/>
        </w:rPr>
        <w:t xml:space="preserve">isk analysis </w:t>
      </w:r>
      <w:r w:rsidR="00B8367B">
        <w:rPr>
          <w:i/>
        </w:rPr>
        <w:t>“</w:t>
      </w:r>
      <w:r w:rsidR="003D6070">
        <w:rPr>
          <w:i/>
        </w:rPr>
        <w:t>method</w:t>
      </w:r>
      <w:r w:rsidR="00B8367B">
        <w:rPr>
          <w:i/>
        </w:rPr>
        <w:t>”</w:t>
      </w:r>
      <w:r w:rsidR="003D6070">
        <w:rPr>
          <w:i/>
        </w:rPr>
        <w:t xml:space="preserve">? </w:t>
      </w:r>
      <w:r w:rsidR="00B8367B">
        <w:rPr>
          <w:i/>
        </w:rPr>
        <w:t xml:space="preserve"> Must be able to p</w:t>
      </w:r>
      <w:r w:rsidR="003D6070">
        <w:rPr>
          <w:i/>
        </w:rPr>
        <w:t xml:space="preserve">ass the “map point” test – </w:t>
      </w:r>
      <w:r w:rsidR="00B8367B">
        <w:rPr>
          <w:i/>
        </w:rPr>
        <w:t xml:space="preserve">i.e., </w:t>
      </w:r>
      <w:r w:rsidR="003D6070">
        <w:rPr>
          <w:i/>
        </w:rPr>
        <w:t xml:space="preserve">can </w:t>
      </w:r>
      <w:r w:rsidR="00B8367B">
        <w:rPr>
          <w:i/>
        </w:rPr>
        <w:t xml:space="preserve">analyst answer </w:t>
      </w:r>
      <w:r w:rsidR="003D6070">
        <w:rPr>
          <w:i/>
        </w:rPr>
        <w:t>question</w:t>
      </w:r>
      <w:r w:rsidR="00B8367B">
        <w:rPr>
          <w:i/>
        </w:rPr>
        <w:t>s</w:t>
      </w:r>
      <w:r w:rsidR="003D6070">
        <w:rPr>
          <w:i/>
        </w:rPr>
        <w:t xml:space="preserve"> about </w:t>
      </w:r>
      <w:r w:rsidR="00B8367B">
        <w:rPr>
          <w:i/>
        </w:rPr>
        <w:t xml:space="preserve">the </w:t>
      </w:r>
      <w:r w:rsidR="003D6070">
        <w:rPr>
          <w:i/>
        </w:rPr>
        <w:t xml:space="preserve">risk profile at any place someone can </w:t>
      </w:r>
      <w:r w:rsidR="00B92ABD">
        <w:rPr>
          <w:i/>
        </w:rPr>
        <w:t>point to on a map?</w:t>
      </w:r>
      <w:r w:rsidR="00D10938">
        <w:rPr>
          <w:i/>
        </w:rPr>
        <w:t xml:space="preserve">  </w:t>
      </w:r>
      <w:r w:rsidR="00B8367B">
        <w:rPr>
          <w:i/>
        </w:rPr>
        <w:t xml:space="preserve"> From this definition, one c</w:t>
      </w:r>
      <w:r w:rsidR="00D10938">
        <w:rPr>
          <w:i/>
        </w:rPr>
        <w:t>an derive a fairly short</w:t>
      </w:r>
      <w:r w:rsidR="00B8367B">
        <w:rPr>
          <w:i/>
        </w:rPr>
        <w:t xml:space="preserve"> </w:t>
      </w:r>
      <w:r w:rsidR="00D10938">
        <w:rPr>
          <w:i/>
        </w:rPr>
        <w:t>list of good (and “acceptable”) risk assessment approach</w:t>
      </w:r>
      <w:r w:rsidR="00B8367B">
        <w:rPr>
          <w:i/>
        </w:rPr>
        <w:t>es</w:t>
      </w:r>
      <w:r w:rsidR="00D10938">
        <w:rPr>
          <w:i/>
        </w:rPr>
        <w:t>.</w:t>
      </w:r>
    </w:p>
    <w:p w14:paraId="6893431C" w14:textId="748280E8" w:rsidR="00D10938" w:rsidRDefault="00D10938" w:rsidP="00CE2D62">
      <w:pPr>
        <w:pStyle w:val="ListParagraph"/>
        <w:ind w:left="360"/>
        <w:rPr>
          <w:i/>
        </w:rPr>
      </w:pPr>
    </w:p>
    <w:p w14:paraId="72CB6AAC" w14:textId="1D06E128" w:rsidR="00826568" w:rsidRDefault="00B8367B" w:rsidP="00CE2D62">
      <w:pPr>
        <w:pStyle w:val="ListParagraph"/>
        <w:ind w:left="360"/>
        <w:rPr>
          <w:i/>
        </w:rPr>
      </w:pPr>
      <w:r>
        <w:rPr>
          <w:i/>
        </w:rPr>
        <w:t xml:space="preserve">Risk analysis </w:t>
      </w:r>
      <w:r w:rsidR="00826568">
        <w:rPr>
          <w:i/>
        </w:rPr>
        <w:t>Is essentially a diagnostic tool – receiver operating characteristic (ROC) curve</w:t>
      </w:r>
      <w:r w:rsidR="00654590">
        <w:rPr>
          <w:i/>
        </w:rPr>
        <w:t>.</w:t>
      </w:r>
    </w:p>
    <w:p w14:paraId="4D982829" w14:textId="00C84163" w:rsidR="00D10938" w:rsidRDefault="00826568" w:rsidP="00CE2D62">
      <w:pPr>
        <w:pStyle w:val="ListParagraph"/>
        <w:ind w:left="360"/>
        <w:rPr>
          <w:i/>
        </w:rPr>
      </w:pPr>
      <w:r>
        <w:rPr>
          <w:i/>
        </w:rPr>
        <w:t xml:space="preserve"> </w:t>
      </w:r>
    </w:p>
    <w:p w14:paraId="44D13CD6" w14:textId="55F63D98" w:rsidR="00B8367B" w:rsidRDefault="00826568" w:rsidP="00CE2D62">
      <w:pPr>
        <w:pStyle w:val="ListParagraph"/>
        <w:ind w:left="360"/>
        <w:rPr>
          <w:i/>
        </w:rPr>
      </w:pPr>
      <w:r>
        <w:rPr>
          <w:i/>
        </w:rPr>
        <w:t>Best Practices</w:t>
      </w:r>
      <w:r w:rsidR="0031700A">
        <w:rPr>
          <w:i/>
        </w:rPr>
        <w:t xml:space="preserve"> – </w:t>
      </w:r>
    </w:p>
    <w:p w14:paraId="6210C85C" w14:textId="58E8D79F" w:rsidR="00B8367B" w:rsidRDefault="00826568" w:rsidP="00B8367B">
      <w:pPr>
        <w:pStyle w:val="ListParagraph"/>
        <w:ind w:left="360"/>
        <w:rPr>
          <w:i/>
        </w:rPr>
      </w:pPr>
      <w:r>
        <w:rPr>
          <w:i/>
        </w:rPr>
        <w:t xml:space="preserve">CoF </w:t>
      </w:r>
      <w:r w:rsidR="00B8367B">
        <w:rPr>
          <w:i/>
        </w:rPr>
        <w:t xml:space="preserve">is now </w:t>
      </w:r>
      <w:r>
        <w:rPr>
          <w:i/>
        </w:rPr>
        <w:t xml:space="preserve">relatively robust.  </w:t>
      </w:r>
      <w:r w:rsidR="00B8367B">
        <w:rPr>
          <w:i/>
        </w:rPr>
        <w:t>Consequences are generally better understood than likelihood, but must consider “most probable” in addition to “worst case” scenarios.</w:t>
      </w:r>
    </w:p>
    <w:p w14:paraId="10748B4D" w14:textId="77777777" w:rsidR="00B8367B" w:rsidRDefault="00B8367B" w:rsidP="00CE2D62">
      <w:pPr>
        <w:pStyle w:val="ListParagraph"/>
        <w:ind w:left="360"/>
        <w:rPr>
          <w:i/>
        </w:rPr>
      </w:pPr>
    </w:p>
    <w:p w14:paraId="09B409CC" w14:textId="58774719" w:rsidR="006E65AC" w:rsidRDefault="00826568" w:rsidP="00CE2D62">
      <w:pPr>
        <w:pStyle w:val="ListParagraph"/>
        <w:ind w:left="360"/>
        <w:rPr>
          <w:i/>
        </w:rPr>
      </w:pPr>
      <w:r>
        <w:rPr>
          <w:i/>
        </w:rPr>
        <w:t xml:space="preserve">PoF: </w:t>
      </w:r>
      <w:r w:rsidR="00B8367B">
        <w:rPr>
          <w:i/>
        </w:rPr>
        <w:t>Operators should now evolve to a m</w:t>
      </w:r>
      <w:r>
        <w:rPr>
          <w:i/>
        </w:rPr>
        <w:t>odernized approach</w:t>
      </w:r>
      <w:r w:rsidR="00B8367B">
        <w:rPr>
          <w:i/>
        </w:rPr>
        <w:t xml:space="preserve"> versus index model approach</w:t>
      </w:r>
      <w:r>
        <w:rPr>
          <w:i/>
        </w:rPr>
        <w:t xml:space="preserve">.  </w:t>
      </w:r>
      <w:r w:rsidR="00A37684">
        <w:rPr>
          <w:i/>
        </w:rPr>
        <w:t>S</w:t>
      </w:r>
      <w:r w:rsidR="00B8367B">
        <w:rPr>
          <w:i/>
        </w:rPr>
        <w:t xml:space="preserve">tated </w:t>
      </w:r>
      <w:r w:rsidR="00DB29AB">
        <w:rPr>
          <w:i/>
        </w:rPr>
        <w:t>“</w:t>
      </w:r>
      <w:r w:rsidR="00A37684">
        <w:rPr>
          <w:i/>
        </w:rPr>
        <w:t>no defensible reason to use a relative risk assessment methodology.</w:t>
      </w:r>
      <w:r w:rsidR="00DB29AB">
        <w:rPr>
          <w:i/>
        </w:rPr>
        <w:t>”</w:t>
      </w:r>
      <w:r w:rsidR="00A37684">
        <w:rPr>
          <w:i/>
        </w:rPr>
        <w:t xml:space="preserve">  </w:t>
      </w:r>
      <w:r w:rsidR="00DF6289">
        <w:rPr>
          <w:i/>
        </w:rPr>
        <w:t xml:space="preserve">Must </w:t>
      </w:r>
      <w:r w:rsidR="00B8367B">
        <w:rPr>
          <w:i/>
        </w:rPr>
        <w:t>r</w:t>
      </w:r>
      <w:r w:rsidR="00654590">
        <w:rPr>
          <w:i/>
        </w:rPr>
        <w:t xml:space="preserve">eally do a quantitative approach </w:t>
      </w:r>
      <w:r w:rsidR="00790652">
        <w:rPr>
          <w:i/>
        </w:rPr>
        <w:t>that</w:t>
      </w:r>
      <w:r w:rsidR="00B8367B">
        <w:rPr>
          <w:i/>
        </w:rPr>
        <w:t xml:space="preserve"> can produce verifiable numbers.  Note: This </w:t>
      </w:r>
      <w:r w:rsidR="00654590">
        <w:rPr>
          <w:i/>
        </w:rPr>
        <w:t>does not need to be overly complex.</w:t>
      </w:r>
    </w:p>
    <w:p w14:paraId="27A8FC31" w14:textId="77777777" w:rsidR="006E65AC" w:rsidRDefault="006E65AC" w:rsidP="00CE2D62">
      <w:pPr>
        <w:pStyle w:val="ListParagraph"/>
        <w:ind w:left="360"/>
        <w:rPr>
          <w:i/>
        </w:rPr>
      </w:pPr>
    </w:p>
    <w:p w14:paraId="1D811642" w14:textId="53FC18A7" w:rsidR="00826568" w:rsidRDefault="00B8367B" w:rsidP="00CE2D62">
      <w:pPr>
        <w:pStyle w:val="ListParagraph"/>
        <w:ind w:left="360"/>
        <w:rPr>
          <w:i/>
        </w:rPr>
      </w:pPr>
      <w:r>
        <w:rPr>
          <w:i/>
        </w:rPr>
        <w:t xml:space="preserve">Basic approach is to </w:t>
      </w:r>
      <w:r w:rsidR="0071411D">
        <w:rPr>
          <w:i/>
        </w:rPr>
        <w:t>include exposure, mitigation, resistance</w:t>
      </w:r>
      <w:r>
        <w:rPr>
          <w:i/>
        </w:rPr>
        <w:t xml:space="preserve"> (e</w:t>
      </w:r>
      <w:r w:rsidR="006E65AC">
        <w:rPr>
          <w:i/>
        </w:rPr>
        <w:t>verything can be put into these three bins</w:t>
      </w:r>
      <w:r>
        <w:rPr>
          <w:i/>
        </w:rPr>
        <w:t>)</w:t>
      </w:r>
      <w:r w:rsidR="006E65AC">
        <w:rPr>
          <w:i/>
        </w:rPr>
        <w:t>.</w:t>
      </w:r>
    </w:p>
    <w:p w14:paraId="43B4E6A0" w14:textId="0E006F88" w:rsidR="006E65AC" w:rsidRDefault="006E65AC" w:rsidP="00CE2D62">
      <w:pPr>
        <w:pStyle w:val="ListParagraph"/>
        <w:ind w:left="360"/>
        <w:rPr>
          <w:i/>
        </w:rPr>
      </w:pPr>
    </w:p>
    <w:p w14:paraId="41C35AFF" w14:textId="280456AA" w:rsidR="006E65AC" w:rsidRDefault="00C15CA0" w:rsidP="00B8367B">
      <w:pPr>
        <w:pStyle w:val="ListParagraph"/>
        <w:numPr>
          <w:ilvl w:val="0"/>
          <w:numId w:val="22"/>
        </w:numPr>
        <w:rPr>
          <w:i/>
        </w:rPr>
      </w:pPr>
      <w:r>
        <w:rPr>
          <w:i/>
        </w:rPr>
        <w:t>Exposure</w:t>
      </w:r>
      <w:r w:rsidR="0031700A">
        <w:rPr>
          <w:i/>
        </w:rPr>
        <w:t xml:space="preserve">: </w:t>
      </w:r>
      <w:r>
        <w:rPr>
          <w:i/>
        </w:rPr>
        <w:t>either time independent (events/mile-year) or degradation (mm/yr).</w:t>
      </w:r>
    </w:p>
    <w:p w14:paraId="0E9B6B53" w14:textId="7B71105F" w:rsidR="00C15CA0" w:rsidRDefault="00C15CA0" w:rsidP="00CE2D62">
      <w:pPr>
        <w:pStyle w:val="ListParagraph"/>
        <w:ind w:left="360"/>
        <w:rPr>
          <w:i/>
        </w:rPr>
      </w:pPr>
    </w:p>
    <w:p w14:paraId="6A93E7DA" w14:textId="61AAA733" w:rsidR="00C15CA0" w:rsidRDefault="00C15CA0" w:rsidP="00B8367B">
      <w:pPr>
        <w:pStyle w:val="ListParagraph"/>
        <w:numPr>
          <w:ilvl w:val="0"/>
          <w:numId w:val="22"/>
        </w:numPr>
        <w:rPr>
          <w:i/>
        </w:rPr>
      </w:pPr>
      <w:r>
        <w:rPr>
          <w:i/>
        </w:rPr>
        <w:t>Mitigation</w:t>
      </w:r>
      <w:r w:rsidR="0031700A">
        <w:rPr>
          <w:i/>
        </w:rPr>
        <w:t xml:space="preserve">: </w:t>
      </w:r>
      <w:r>
        <w:rPr>
          <w:i/>
        </w:rPr>
        <w:t xml:space="preserve">estimating effectiveness of mitigation (multiple layers of swiss cheese </w:t>
      </w:r>
      <w:r w:rsidR="0031700A">
        <w:rPr>
          <w:i/>
        </w:rPr>
        <w:t>analogy</w:t>
      </w:r>
      <w:r>
        <w:rPr>
          <w:i/>
        </w:rPr>
        <w:t>)</w:t>
      </w:r>
    </w:p>
    <w:p w14:paraId="5EE1F080" w14:textId="77777777" w:rsidR="00C15CA0" w:rsidRDefault="00C15CA0" w:rsidP="00CE2D62">
      <w:pPr>
        <w:pStyle w:val="ListParagraph"/>
        <w:ind w:left="360"/>
        <w:rPr>
          <w:i/>
        </w:rPr>
      </w:pPr>
    </w:p>
    <w:p w14:paraId="3B8E0D6D" w14:textId="689B3970" w:rsidR="00C15CA0" w:rsidRDefault="0031700A" w:rsidP="00B8367B">
      <w:pPr>
        <w:pStyle w:val="ListParagraph"/>
        <w:numPr>
          <w:ilvl w:val="0"/>
          <w:numId w:val="22"/>
        </w:numPr>
        <w:rPr>
          <w:i/>
        </w:rPr>
      </w:pPr>
      <w:r>
        <w:rPr>
          <w:i/>
        </w:rPr>
        <w:t xml:space="preserve">Resistance: </w:t>
      </w:r>
      <w:r w:rsidR="00C15CA0">
        <w:rPr>
          <w:i/>
        </w:rPr>
        <w:t>can estimate in various ways (simple or complex)</w:t>
      </w:r>
    </w:p>
    <w:p w14:paraId="0E573765" w14:textId="77777777" w:rsidR="00C15CA0" w:rsidRDefault="00C15CA0" w:rsidP="00CE2D62">
      <w:pPr>
        <w:pStyle w:val="ListParagraph"/>
        <w:ind w:left="360"/>
        <w:rPr>
          <w:i/>
        </w:rPr>
      </w:pPr>
    </w:p>
    <w:p w14:paraId="0362B1E1" w14:textId="27CAE724" w:rsidR="00C15CA0" w:rsidRDefault="00C15CA0" w:rsidP="00CE2D62">
      <w:pPr>
        <w:pStyle w:val="ListParagraph"/>
        <w:ind w:left="360"/>
        <w:rPr>
          <w:i/>
        </w:rPr>
      </w:pPr>
      <w:r>
        <w:rPr>
          <w:i/>
        </w:rPr>
        <w:t xml:space="preserve"> </w:t>
      </w:r>
      <w:r w:rsidR="00AF1484">
        <w:rPr>
          <w:i/>
        </w:rPr>
        <w:t>Approach is similar to typical design methodologies, but decouples</w:t>
      </w:r>
      <w:r w:rsidR="0065314F">
        <w:rPr>
          <w:i/>
        </w:rPr>
        <w:t xml:space="preserve"> mitigation from exposure, and de-emphasizes details of underlying probability theory.</w:t>
      </w:r>
    </w:p>
    <w:p w14:paraId="2BE2C1A5" w14:textId="352BB14E" w:rsidR="0065314F" w:rsidRDefault="0065314F" w:rsidP="00CE2D62">
      <w:pPr>
        <w:pStyle w:val="ListParagraph"/>
        <w:ind w:left="360"/>
        <w:rPr>
          <w:i/>
        </w:rPr>
      </w:pPr>
    </w:p>
    <w:p w14:paraId="1E202A94" w14:textId="4FEA0984" w:rsidR="00654590" w:rsidRDefault="007C739A" w:rsidP="00CE2D62">
      <w:pPr>
        <w:pStyle w:val="ListParagraph"/>
        <w:ind w:left="360"/>
        <w:rPr>
          <w:i/>
        </w:rPr>
      </w:pPr>
      <w:r>
        <w:rPr>
          <w:i/>
        </w:rPr>
        <w:t xml:space="preserve">Data – </w:t>
      </w:r>
      <w:r w:rsidR="00B8367B">
        <w:rPr>
          <w:i/>
        </w:rPr>
        <w:t xml:space="preserve">Is a </w:t>
      </w:r>
      <w:r>
        <w:rPr>
          <w:i/>
        </w:rPr>
        <w:t>myth that QRA requires vast amounts of incident histories.  Reality is that QRA requires no more data than other techniques.  All RA approaches work better with better data.</w:t>
      </w:r>
      <w:r w:rsidR="0031700A">
        <w:rPr>
          <w:i/>
        </w:rPr>
        <w:t xml:space="preserve">  </w:t>
      </w:r>
      <w:r w:rsidR="00672F0E">
        <w:rPr>
          <w:i/>
        </w:rPr>
        <w:t xml:space="preserve">Statistics-centric modeling </w:t>
      </w:r>
      <w:r w:rsidR="0031700A">
        <w:rPr>
          <w:i/>
        </w:rPr>
        <w:t xml:space="preserve">approaches </w:t>
      </w:r>
      <w:r w:rsidR="00672F0E">
        <w:rPr>
          <w:i/>
        </w:rPr>
        <w:t>have weaknesses.</w:t>
      </w:r>
    </w:p>
    <w:p w14:paraId="2DBFCB86" w14:textId="31EFA820" w:rsidR="00672F0E" w:rsidRDefault="00672F0E" w:rsidP="00CE2D62">
      <w:pPr>
        <w:pStyle w:val="ListParagraph"/>
        <w:ind w:left="360"/>
        <w:rPr>
          <w:i/>
        </w:rPr>
      </w:pPr>
    </w:p>
    <w:p w14:paraId="5211A24D" w14:textId="6D3F55B2" w:rsidR="00672F0E" w:rsidRDefault="00672F0E" w:rsidP="00CE2D62">
      <w:pPr>
        <w:pStyle w:val="ListParagraph"/>
        <w:ind w:left="360"/>
        <w:rPr>
          <w:i/>
        </w:rPr>
      </w:pPr>
      <w:r>
        <w:rPr>
          <w:i/>
        </w:rPr>
        <w:t xml:space="preserve">Migrating from index models to something better (quantitative/probabilistic model) – six </w:t>
      </w:r>
      <w:r w:rsidR="002F3FC5">
        <w:rPr>
          <w:i/>
        </w:rPr>
        <w:t>step process outlined</w:t>
      </w:r>
      <w:r w:rsidR="001E2279">
        <w:rPr>
          <w:i/>
        </w:rPr>
        <w:t>.</w:t>
      </w:r>
      <w:r w:rsidR="00E81D49">
        <w:rPr>
          <w:i/>
        </w:rPr>
        <w:t xml:space="preserve">  S</w:t>
      </w:r>
      <w:r w:rsidR="004E428B">
        <w:rPr>
          <w:i/>
        </w:rPr>
        <w:t xml:space="preserve">tated there is </w:t>
      </w:r>
      <w:r w:rsidR="00E81D49">
        <w:rPr>
          <w:i/>
        </w:rPr>
        <w:t>no basis for the use of weightings in risk analysis approaches.</w:t>
      </w:r>
    </w:p>
    <w:p w14:paraId="5B943E88" w14:textId="77777777" w:rsidR="00A37684" w:rsidRDefault="00A37684" w:rsidP="00CE2D62">
      <w:pPr>
        <w:pStyle w:val="ListParagraph"/>
        <w:ind w:left="360"/>
        <w:rPr>
          <w:i/>
        </w:rPr>
      </w:pPr>
    </w:p>
    <w:p w14:paraId="790B1C1B" w14:textId="5E484FB2" w:rsidR="004C2C5E" w:rsidRPr="0044638A" w:rsidRDefault="004C2C5E" w:rsidP="00984545">
      <w:pPr>
        <w:pStyle w:val="ListParagraph"/>
        <w:ind w:left="360"/>
        <w:rPr>
          <w:i/>
        </w:rPr>
      </w:pPr>
      <w:r w:rsidRPr="0044638A">
        <w:rPr>
          <w:i/>
        </w:rPr>
        <w:t>Team discussion:</w:t>
      </w:r>
    </w:p>
    <w:p w14:paraId="2DE525AC" w14:textId="041E8A01" w:rsidR="00B441CF" w:rsidRDefault="00FD6A71" w:rsidP="008F556C">
      <w:pPr>
        <w:pStyle w:val="ListParagraph"/>
        <w:numPr>
          <w:ilvl w:val="0"/>
          <w:numId w:val="9"/>
        </w:numPr>
        <w:rPr>
          <w:i/>
        </w:rPr>
      </w:pPr>
      <w:r>
        <w:rPr>
          <w:i/>
        </w:rPr>
        <w:t xml:space="preserve">Discussion was not in complete agreement with the </w:t>
      </w:r>
      <w:r w:rsidR="00CE5BCC">
        <w:rPr>
          <w:i/>
        </w:rPr>
        <w:t xml:space="preserve">assertion that </w:t>
      </w:r>
      <w:r w:rsidR="003B377C">
        <w:rPr>
          <w:i/>
        </w:rPr>
        <w:t xml:space="preserve">index models should </w:t>
      </w:r>
      <w:r>
        <w:rPr>
          <w:i/>
        </w:rPr>
        <w:t>no longer be used for pipeline risk modeling.</w:t>
      </w:r>
    </w:p>
    <w:p w14:paraId="0CAD0F42" w14:textId="77777777" w:rsidR="00A713D1" w:rsidRDefault="00A713D1" w:rsidP="00A713D1">
      <w:pPr>
        <w:pStyle w:val="ListParagraph"/>
        <w:ind w:left="360"/>
      </w:pPr>
    </w:p>
    <w:p w14:paraId="2AE2EEA7" w14:textId="22D85D71" w:rsidR="00B441CF" w:rsidRDefault="00710EBF" w:rsidP="00D72124">
      <w:pPr>
        <w:pStyle w:val="ListParagraph"/>
        <w:numPr>
          <w:ilvl w:val="0"/>
          <w:numId w:val="1"/>
        </w:numPr>
      </w:pPr>
      <w:r>
        <w:t xml:space="preserve">Open </w:t>
      </w:r>
      <w:r w:rsidR="00B441CF">
        <w:t xml:space="preserve">Discussion Session </w:t>
      </w:r>
      <w:r w:rsidR="003A53CC">
        <w:t xml:space="preserve">#1 </w:t>
      </w:r>
      <w:r w:rsidR="00B441CF">
        <w:t>(Dane Spillers</w:t>
      </w:r>
      <w:r w:rsidR="000D7D30">
        <w:t>;</w:t>
      </w:r>
      <w:r w:rsidR="003A53CC">
        <w:t xml:space="preserve"> PHMSA</w:t>
      </w:r>
      <w:r w:rsidR="00B441CF">
        <w:t>)</w:t>
      </w:r>
    </w:p>
    <w:p w14:paraId="1F5D33AE" w14:textId="0346481A" w:rsidR="00B441CF" w:rsidRDefault="00B441CF" w:rsidP="008D34F7">
      <w:pPr>
        <w:pStyle w:val="ListParagraph"/>
        <w:numPr>
          <w:ilvl w:val="0"/>
          <w:numId w:val="9"/>
        </w:numPr>
        <w:spacing w:before="120"/>
        <w:rPr>
          <w:i/>
        </w:rPr>
      </w:pPr>
      <w:r>
        <w:rPr>
          <w:i/>
        </w:rPr>
        <w:lastRenderedPageBreak/>
        <w:t>Simplistic qualitative oriented models are likely to stay in play to some extent (e.g., very small operators), but the benefit of moving to a more quantitative approach</w:t>
      </w:r>
      <w:r w:rsidR="007F0419">
        <w:rPr>
          <w:i/>
        </w:rPr>
        <w:t xml:space="preserve"> should be recognized</w:t>
      </w:r>
      <w:r>
        <w:rPr>
          <w:i/>
        </w:rPr>
        <w:t>.</w:t>
      </w:r>
    </w:p>
    <w:p w14:paraId="3A422116" w14:textId="237450AA" w:rsidR="008F556C" w:rsidRPr="00B441CF" w:rsidRDefault="00B441CF" w:rsidP="00B441CF">
      <w:pPr>
        <w:pStyle w:val="ListParagraph"/>
        <w:numPr>
          <w:ilvl w:val="0"/>
          <w:numId w:val="9"/>
        </w:numPr>
        <w:rPr>
          <w:i/>
        </w:rPr>
      </w:pPr>
      <w:r>
        <w:rPr>
          <w:i/>
        </w:rPr>
        <w:t>SME in an important aspect of risk modeling; need to pay attention and make this a quality level of input.</w:t>
      </w:r>
    </w:p>
    <w:p w14:paraId="16F56DA4" w14:textId="3D07254D" w:rsidR="00B441CF" w:rsidRDefault="00B441CF" w:rsidP="004C2C5E">
      <w:pPr>
        <w:pStyle w:val="ListParagraph"/>
        <w:numPr>
          <w:ilvl w:val="0"/>
          <w:numId w:val="9"/>
        </w:numPr>
        <w:rPr>
          <w:i/>
        </w:rPr>
      </w:pPr>
      <w:r>
        <w:rPr>
          <w:i/>
        </w:rPr>
        <w:t xml:space="preserve">External review </w:t>
      </w:r>
      <w:r w:rsidR="007F0419">
        <w:rPr>
          <w:i/>
        </w:rPr>
        <w:t xml:space="preserve">of model </w:t>
      </w:r>
      <w:r>
        <w:rPr>
          <w:i/>
        </w:rPr>
        <w:t>by a third party SME can be a useful exercise.</w:t>
      </w:r>
    </w:p>
    <w:p w14:paraId="3EEDEA1D" w14:textId="63157F7F" w:rsidR="001D68F2" w:rsidRDefault="00396C0A" w:rsidP="004C2C5E">
      <w:pPr>
        <w:pStyle w:val="ListParagraph"/>
        <w:numPr>
          <w:ilvl w:val="0"/>
          <w:numId w:val="9"/>
        </w:numPr>
        <w:rPr>
          <w:i/>
        </w:rPr>
      </w:pPr>
      <w:r>
        <w:rPr>
          <w:i/>
        </w:rPr>
        <w:t>It may be that the</w:t>
      </w:r>
      <w:r w:rsidR="000A7DF3">
        <w:rPr>
          <w:i/>
        </w:rPr>
        <w:t xml:space="preserve"> SME</w:t>
      </w:r>
      <w:r>
        <w:rPr>
          <w:i/>
        </w:rPr>
        <w:t xml:space="preserve"> function should ultimately</w:t>
      </w:r>
      <w:r w:rsidR="000A7DF3">
        <w:rPr>
          <w:i/>
        </w:rPr>
        <w:t xml:space="preserve"> be a “qualified” </w:t>
      </w:r>
      <w:r>
        <w:rPr>
          <w:i/>
        </w:rPr>
        <w:t xml:space="preserve">(or equivalent) </w:t>
      </w:r>
      <w:r w:rsidR="000A7DF3">
        <w:rPr>
          <w:i/>
        </w:rPr>
        <w:t>task simi</w:t>
      </w:r>
      <w:r>
        <w:rPr>
          <w:i/>
        </w:rPr>
        <w:t>lar to other pipeline functions?</w:t>
      </w:r>
    </w:p>
    <w:p w14:paraId="3695C497" w14:textId="4B6F1561" w:rsidR="0090788C" w:rsidRDefault="0090788C" w:rsidP="004C2C5E">
      <w:pPr>
        <w:pStyle w:val="ListParagraph"/>
        <w:numPr>
          <w:ilvl w:val="0"/>
          <w:numId w:val="9"/>
        </w:numPr>
        <w:rPr>
          <w:i/>
        </w:rPr>
      </w:pPr>
      <w:r>
        <w:rPr>
          <w:i/>
        </w:rPr>
        <w:t>Are RA results similar after translation from an index model to a quantitative model?  Not necessarily, as the index models do not</w:t>
      </w:r>
      <w:r w:rsidR="001E126C">
        <w:rPr>
          <w:i/>
        </w:rPr>
        <w:t xml:space="preserve"> include the actual magnitude of risk driver differences,</w:t>
      </w:r>
      <w:r>
        <w:rPr>
          <w:i/>
        </w:rPr>
        <w:t xml:space="preserve"> have </w:t>
      </w:r>
      <w:r w:rsidR="001E126C">
        <w:rPr>
          <w:i/>
        </w:rPr>
        <w:t xml:space="preserve">non-algebraic </w:t>
      </w:r>
      <w:r>
        <w:rPr>
          <w:i/>
        </w:rPr>
        <w:t>logic</w:t>
      </w:r>
      <w:r w:rsidR="001E126C">
        <w:rPr>
          <w:i/>
        </w:rPr>
        <w:t xml:space="preserve"> that results in fundamentally different results, etc</w:t>
      </w:r>
      <w:r>
        <w:rPr>
          <w:i/>
        </w:rPr>
        <w:t>.</w:t>
      </w:r>
    </w:p>
    <w:p w14:paraId="3D2C7C73" w14:textId="6449E34B" w:rsidR="006B5311" w:rsidRDefault="00360CB4" w:rsidP="004C2C5E">
      <w:pPr>
        <w:pStyle w:val="ListParagraph"/>
        <w:numPr>
          <w:ilvl w:val="0"/>
          <w:numId w:val="9"/>
        </w:numPr>
        <w:rPr>
          <w:i/>
        </w:rPr>
      </w:pPr>
      <w:r>
        <w:rPr>
          <w:i/>
        </w:rPr>
        <w:t xml:space="preserve">Noted </w:t>
      </w:r>
      <w:r w:rsidR="001E126C">
        <w:rPr>
          <w:i/>
        </w:rPr>
        <w:t xml:space="preserve">the </w:t>
      </w:r>
      <w:r w:rsidR="00833EF0">
        <w:rPr>
          <w:i/>
        </w:rPr>
        <w:t xml:space="preserve">technical guidance </w:t>
      </w:r>
      <w:r>
        <w:rPr>
          <w:i/>
        </w:rPr>
        <w:t>document should clearly outline the benefit of applying more quantitative approaches (</w:t>
      </w:r>
      <w:r w:rsidR="00833EF0">
        <w:rPr>
          <w:i/>
        </w:rPr>
        <w:t>help justify any increased resource level (or perception of increased level of resource)</w:t>
      </w:r>
      <w:r>
        <w:rPr>
          <w:i/>
        </w:rPr>
        <w:t>).</w:t>
      </w:r>
    </w:p>
    <w:p w14:paraId="6D940E3C" w14:textId="7CBAD378" w:rsidR="009B61D4" w:rsidRDefault="006F2DCD" w:rsidP="004C2C5E">
      <w:pPr>
        <w:pStyle w:val="ListParagraph"/>
        <w:numPr>
          <w:ilvl w:val="0"/>
          <w:numId w:val="9"/>
        </w:numPr>
        <w:rPr>
          <w:i/>
        </w:rPr>
      </w:pPr>
      <w:r>
        <w:rPr>
          <w:i/>
        </w:rPr>
        <w:t>Noted precursor analysis can be useful to help identify the unknown unknowns.</w:t>
      </w:r>
    </w:p>
    <w:p w14:paraId="6C782D04" w14:textId="6CF79560" w:rsidR="00BE5B88" w:rsidRPr="008B0821" w:rsidRDefault="008B0821" w:rsidP="00BE5B88">
      <w:pPr>
        <w:pStyle w:val="ListParagraph"/>
        <w:numPr>
          <w:ilvl w:val="0"/>
          <w:numId w:val="9"/>
        </w:numPr>
        <w:rPr>
          <w:i/>
        </w:rPr>
      </w:pPr>
      <w:r>
        <w:rPr>
          <w:i/>
        </w:rPr>
        <w:t>If have index model score, how directly translate/compare to a quantitative score?  WKM – cannot do, just recalculate</w:t>
      </w:r>
      <w:r w:rsidR="001E126C">
        <w:rPr>
          <w:i/>
        </w:rPr>
        <w:t xml:space="preserve"> the risk</w:t>
      </w:r>
      <w:r>
        <w:rPr>
          <w:i/>
        </w:rPr>
        <w:t>.  Dynamic Risk – says have had success in looking at ranking of segments, but underlying risk engine allows more quantitative information to be in the model.  T</w:t>
      </w:r>
      <w:r w:rsidR="001E126C">
        <w:rPr>
          <w:i/>
        </w:rPr>
        <w:t>ransCanada</w:t>
      </w:r>
      <w:r>
        <w:rPr>
          <w:i/>
        </w:rPr>
        <w:t xml:space="preserve"> –</w:t>
      </w:r>
      <w:r w:rsidR="00BE5B88">
        <w:rPr>
          <w:i/>
        </w:rPr>
        <w:t>says depends on purpose of risk assessment; if looking for information such as dominant threats on a specific location (so that the dominant threats can be mitigated) it is very difficult for an index model to technically achieve as it cannot compare between threats.  Index scores are not comparable between threats but if PoF can be calculated in terms of a threat independent parameter such as failure rate it becomes threat independent and therefore comparable between threats, enabling the meaningful calculation of total probability of failure due to all threats.</w:t>
      </w:r>
    </w:p>
    <w:p w14:paraId="33D4D93D" w14:textId="77777777" w:rsidR="00CE3A54" w:rsidRDefault="00CE3A54" w:rsidP="00CE3A54">
      <w:pPr>
        <w:pStyle w:val="ListParagraph"/>
        <w:ind w:left="360"/>
      </w:pPr>
    </w:p>
    <w:p w14:paraId="67C8BF21" w14:textId="27F8B651" w:rsidR="00CE3A54" w:rsidRDefault="00CE3A54" w:rsidP="001E2D68">
      <w:pPr>
        <w:pStyle w:val="ListParagraph"/>
        <w:numPr>
          <w:ilvl w:val="0"/>
          <w:numId w:val="1"/>
        </w:numPr>
      </w:pPr>
      <w:r w:rsidRPr="00344669">
        <w:t xml:space="preserve">Technical Presentation #4: </w:t>
      </w:r>
      <w:r w:rsidR="008F556C" w:rsidRPr="008F556C">
        <w:t>Index Models and Applications</w:t>
      </w:r>
      <w:r w:rsidR="001E2D68">
        <w:t xml:space="preserve"> (</w:t>
      </w:r>
      <w:r w:rsidR="008F556C" w:rsidRPr="008F556C">
        <w:t>Cindy Ansligner</w:t>
      </w:r>
      <w:r w:rsidR="005F28B8">
        <w:t xml:space="preserve"> and Jarrett Compton</w:t>
      </w:r>
      <w:r w:rsidR="001E2D68">
        <w:t xml:space="preserve">; </w:t>
      </w:r>
      <w:r w:rsidR="008F556C" w:rsidRPr="008F556C">
        <w:t>Vectren)</w:t>
      </w:r>
    </w:p>
    <w:p w14:paraId="601818E7" w14:textId="23B85CD8" w:rsidR="00CE3A54" w:rsidRDefault="00091337" w:rsidP="00CE3A54">
      <w:pPr>
        <w:ind w:left="360"/>
        <w:rPr>
          <w:i/>
        </w:rPr>
      </w:pPr>
      <w:r>
        <w:rPr>
          <w:i/>
        </w:rPr>
        <w:t>[</w:t>
      </w:r>
      <w:r w:rsidR="00373673">
        <w:rPr>
          <w:i/>
        </w:rPr>
        <w:t xml:space="preserve">Noted presentation is for </w:t>
      </w:r>
      <w:r>
        <w:rPr>
          <w:i/>
        </w:rPr>
        <w:t>Vectren’s</w:t>
      </w:r>
      <w:r w:rsidR="00373673">
        <w:rPr>
          <w:i/>
        </w:rPr>
        <w:t xml:space="preserve"> transmission model; have separate model for distribution.</w:t>
      </w:r>
      <w:r>
        <w:rPr>
          <w:i/>
        </w:rPr>
        <w:t>]</w:t>
      </w:r>
    </w:p>
    <w:p w14:paraId="47640D3C" w14:textId="2A87A3BD" w:rsidR="00431246" w:rsidRDefault="00431246" w:rsidP="00CE3A54">
      <w:pPr>
        <w:ind w:left="360"/>
        <w:rPr>
          <w:i/>
        </w:rPr>
      </w:pPr>
      <w:r>
        <w:rPr>
          <w:i/>
        </w:rPr>
        <w:t xml:space="preserve">Use GeoFields </w:t>
      </w:r>
      <w:r w:rsidR="00091337">
        <w:rPr>
          <w:i/>
        </w:rPr>
        <w:t xml:space="preserve">products </w:t>
      </w:r>
      <w:r>
        <w:rPr>
          <w:i/>
        </w:rPr>
        <w:t>RiskFrame Modeler for risk</w:t>
      </w:r>
      <w:r w:rsidR="00091337">
        <w:rPr>
          <w:i/>
        </w:rPr>
        <w:t>,</w:t>
      </w:r>
      <w:r>
        <w:rPr>
          <w:i/>
        </w:rPr>
        <w:t xml:space="preserve"> and RiskFrame HCA to evaluat</w:t>
      </w:r>
      <w:r w:rsidR="00091337">
        <w:rPr>
          <w:i/>
        </w:rPr>
        <w:t>e</w:t>
      </w:r>
      <w:r>
        <w:rPr>
          <w:i/>
        </w:rPr>
        <w:t xml:space="preserve"> Class and HCA</w:t>
      </w:r>
      <w:r w:rsidR="00091337">
        <w:rPr>
          <w:i/>
        </w:rPr>
        <w:t xml:space="preserve"> locations</w:t>
      </w:r>
      <w:r>
        <w:rPr>
          <w:i/>
        </w:rPr>
        <w:t>.</w:t>
      </w:r>
    </w:p>
    <w:p w14:paraId="34DC1313" w14:textId="54028090" w:rsidR="00431246" w:rsidRDefault="00431246" w:rsidP="00CE3A54">
      <w:pPr>
        <w:ind w:left="360"/>
        <w:rPr>
          <w:i/>
        </w:rPr>
      </w:pPr>
      <w:r>
        <w:rPr>
          <w:i/>
        </w:rPr>
        <w:t>Have five main defined goals for their risk process</w:t>
      </w:r>
      <w:r w:rsidR="00C318FC">
        <w:rPr>
          <w:i/>
        </w:rPr>
        <w:t xml:space="preserve">, but noted that risk analysis is </w:t>
      </w:r>
      <w:r w:rsidR="00A16CD3">
        <w:rPr>
          <w:i/>
        </w:rPr>
        <w:t xml:space="preserve">a tool for the IM process, </w:t>
      </w:r>
      <w:r w:rsidR="00C318FC">
        <w:rPr>
          <w:i/>
        </w:rPr>
        <w:t xml:space="preserve">but </w:t>
      </w:r>
      <w:r w:rsidR="00A16CD3">
        <w:rPr>
          <w:i/>
        </w:rPr>
        <w:t xml:space="preserve">is not the </w:t>
      </w:r>
      <w:r w:rsidR="00C318FC">
        <w:rPr>
          <w:i/>
        </w:rPr>
        <w:t xml:space="preserve">principal </w:t>
      </w:r>
      <w:r w:rsidR="00A16CD3">
        <w:rPr>
          <w:i/>
        </w:rPr>
        <w:t>driver for the IM process.</w:t>
      </w:r>
    </w:p>
    <w:p w14:paraId="056A9E34" w14:textId="0345F262" w:rsidR="00A16CD3" w:rsidRDefault="00A16CD3" w:rsidP="00CE3A54">
      <w:pPr>
        <w:ind w:left="360"/>
        <w:rPr>
          <w:i/>
        </w:rPr>
      </w:pPr>
      <w:r>
        <w:rPr>
          <w:i/>
        </w:rPr>
        <w:t>Risk Model Review Process – do a</w:t>
      </w:r>
      <w:r w:rsidR="00994E5D">
        <w:rPr>
          <w:i/>
        </w:rPr>
        <w:t xml:space="preserve">nnual run of risk model and perform </w:t>
      </w:r>
      <w:r>
        <w:rPr>
          <w:i/>
        </w:rPr>
        <w:t>a plan/</w:t>
      </w:r>
      <w:r w:rsidR="000D43E8">
        <w:rPr>
          <w:i/>
        </w:rPr>
        <w:t>do/</w:t>
      </w:r>
      <w:r>
        <w:rPr>
          <w:i/>
        </w:rPr>
        <w:t>adjust/check process (culminates in 4</w:t>
      </w:r>
      <w:r w:rsidRPr="00A16CD3">
        <w:rPr>
          <w:i/>
          <w:vertAlign w:val="superscript"/>
        </w:rPr>
        <w:t>th</w:t>
      </w:r>
      <w:r>
        <w:rPr>
          <w:i/>
        </w:rPr>
        <w:t xml:space="preserve"> quarter annual review with SME’s and field personnel to verify algorithm and recommend improvements).</w:t>
      </w:r>
    </w:p>
    <w:p w14:paraId="2FEFC1DA" w14:textId="1C627B3B" w:rsidR="00A16CD3" w:rsidRDefault="00F3695F" w:rsidP="00CE3A54">
      <w:pPr>
        <w:ind w:left="360"/>
        <w:rPr>
          <w:i/>
        </w:rPr>
      </w:pPr>
      <w:r>
        <w:rPr>
          <w:i/>
        </w:rPr>
        <w:t>Risk model is a weighted relati</w:t>
      </w:r>
      <w:r w:rsidR="008B1C59">
        <w:rPr>
          <w:i/>
        </w:rPr>
        <w:t>ve index score approach – involves 119 inputs.</w:t>
      </w:r>
      <w:r w:rsidR="00D30B45">
        <w:rPr>
          <w:i/>
        </w:rPr>
        <w:t xml:space="preserve">  [CoF includes population, business, and environment</w:t>
      </w:r>
      <w:r w:rsidR="0021017A">
        <w:rPr>
          <w:i/>
        </w:rPr>
        <w:t>; weighted 10/7/1</w:t>
      </w:r>
      <w:r w:rsidR="00D30B45">
        <w:rPr>
          <w:i/>
        </w:rPr>
        <w:t>.]</w:t>
      </w:r>
    </w:p>
    <w:p w14:paraId="1D50B558" w14:textId="41A6255A" w:rsidR="008F5902" w:rsidRDefault="008F5902" w:rsidP="00CE3A54">
      <w:pPr>
        <w:ind w:left="360"/>
        <w:rPr>
          <w:i/>
        </w:rPr>
      </w:pPr>
      <w:r>
        <w:rPr>
          <w:i/>
        </w:rPr>
        <w:t xml:space="preserve">Data fields of particular </w:t>
      </w:r>
      <w:r w:rsidR="0021452D">
        <w:rPr>
          <w:i/>
        </w:rPr>
        <w:t xml:space="preserve">general company </w:t>
      </w:r>
      <w:r>
        <w:rPr>
          <w:i/>
        </w:rPr>
        <w:t xml:space="preserve">interest </w:t>
      </w:r>
      <w:r w:rsidR="0021452D">
        <w:rPr>
          <w:i/>
        </w:rPr>
        <w:t>i</w:t>
      </w:r>
      <w:r>
        <w:rPr>
          <w:i/>
        </w:rPr>
        <w:t>nclude single feed locations (particular issue in the winter; working to eliminate issue), current year install date, high occupancy locations, and line markers (TPD minimization).</w:t>
      </w:r>
    </w:p>
    <w:p w14:paraId="06E4FEE9" w14:textId="22541416" w:rsidR="00267A82" w:rsidRDefault="00267A82" w:rsidP="00CE3A54">
      <w:pPr>
        <w:ind w:left="360"/>
        <w:rPr>
          <w:i/>
        </w:rPr>
      </w:pPr>
      <w:r>
        <w:rPr>
          <w:i/>
        </w:rPr>
        <w:lastRenderedPageBreak/>
        <w:t>LoF weightings stated as being based on the Vectren sy</w:t>
      </w:r>
      <w:r w:rsidR="00FC1145">
        <w:rPr>
          <w:i/>
        </w:rPr>
        <w:t xml:space="preserve">stem, vs. generic industry data (also noted that they matched well with PHMSA industry </w:t>
      </w:r>
      <w:r w:rsidR="00DE0B61">
        <w:rPr>
          <w:i/>
        </w:rPr>
        <w:t xml:space="preserve">20-year </w:t>
      </w:r>
      <w:r w:rsidR="00FC1145">
        <w:rPr>
          <w:i/>
        </w:rPr>
        <w:t xml:space="preserve">incident </w:t>
      </w:r>
      <w:r w:rsidR="00DE0B61">
        <w:rPr>
          <w:i/>
        </w:rPr>
        <w:t xml:space="preserve">cause </w:t>
      </w:r>
      <w:r w:rsidR="00FC1145">
        <w:rPr>
          <w:i/>
        </w:rPr>
        <w:t>data).</w:t>
      </w:r>
    </w:p>
    <w:p w14:paraId="02A9B51C" w14:textId="258B9490" w:rsidR="008B1C59" w:rsidRDefault="00EE5908" w:rsidP="00CE3A54">
      <w:pPr>
        <w:ind w:left="360"/>
        <w:rPr>
          <w:i/>
        </w:rPr>
      </w:pPr>
      <w:r>
        <w:rPr>
          <w:i/>
        </w:rPr>
        <w:t>Account for assessments by reducing factor based on assessment results</w:t>
      </w:r>
      <w:r w:rsidR="00DE0B61">
        <w:rPr>
          <w:i/>
        </w:rPr>
        <w:t xml:space="preserve">; </w:t>
      </w:r>
      <w:r>
        <w:rPr>
          <w:i/>
        </w:rPr>
        <w:t xml:space="preserve">is reduced/diminished over </w:t>
      </w:r>
      <w:r w:rsidR="00DE0B61">
        <w:rPr>
          <w:i/>
        </w:rPr>
        <w:t xml:space="preserve">the </w:t>
      </w:r>
      <w:r>
        <w:rPr>
          <w:i/>
        </w:rPr>
        <w:t xml:space="preserve">time </w:t>
      </w:r>
      <w:r w:rsidR="00DE0B61">
        <w:rPr>
          <w:i/>
        </w:rPr>
        <w:t xml:space="preserve">period </w:t>
      </w:r>
      <w:r>
        <w:rPr>
          <w:i/>
        </w:rPr>
        <w:t>since</w:t>
      </w:r>
      <w:r w:rsidR="00DE0B61">
        <w:rPr>
          <w:i/>
        </w:rPr>
        <w:t xml:space="preserve"> an</w:t>
      </w:r>
      <w:r>
        <w:rPr>
          <w:i/>
        </w:rPr>
        <w:t xml:space="preserve"> assessment was performed.</w:t>
      </w:r>
    </w:p>
    <w:p w14:paraId="5331C90B" w14:textId="10E7B5EE" w:rsidR="00EE5908" w:rsidRDefault="009C63E9" w:rsidP="00CE3A54">
      <w:pPr>
        <w:ind w:left="360"/>
        <w:rPr>
          <w:i/>
        </w:rPr>
      </w:pPr>
      <w:r>
        <w:rPr>
          <w:i/>
        </w:rPr>
        <w:t>RoF</w:t>
      </w:r>
      <w:r w:rsidR="002D409A">
        <w:rPr>
          <w:i/>
        </w:rPr>
        <w:t xml:space="preserve"> binned into six basic bands of risk level.  </w:t>
      </w:r>
      <w:r w:rsidR="00DE0B61">
        <w:rPr>
          <w:i/>
        </w:rPr>
        <w:t>These bands are s</w:t>
      </w:r>
      <w:r w:rsidR="002D409A">
        <w:rPr>
          <w:i/>
        </w:rPr>
        <w:t>how on GIS maps</w:t>
      </w:r>
      <w:r w:rsidR="00DE0B61">
        <w:rPr>
          <w:i/>
        </w:rPr>
        <w:t xml:space="preserve"> for company personnel to utilize</w:t>
      </w:r>
      <w:r w:rsidR="002D409A">
        <w:rPr>
          <w:i/>
        </w:rPr>
        <w:t>.</w:t>
      </w:r>
    </w:p>
    <w:p w14:paraId="1089A7FB" w14:textId="7FB67D8E" w:rsidR="002D409A" w:rsidRDefault="002D409A" w:rsidP="00CE3A54">
      <w:pPr>
        <w:ind w:left="360"/>
        <w:rPr>
          <w:i/>
        </w:rPr>
      </w:pPr>
      <w:r>
        <w:rPr>
          <w:i/>
        </w:rPr>
        <w:t>Do sensitivity studies to see how any one factor affects the risk score – tornado diagram type of presentation to see most important factors.</w:t>
      </w:r>
    </w:p>
    <w:p w14:paraId="63784C46" w14:textId="26D054E7" w:rsidR="00BC527F" w:rsidRDefault="00BC527F" w:rsidP="00CE3A54">
      <w:pPr>
        <w:ind w:left="360"/>
        <w:rPr>
          <w:i/>
        </w:rPr>
      </w:pPr>
      <w:r>
        <w:rPr>
          <w:i/>
        </w:rPr>
        <w:t xml:space="preserve">Also do a model validation with specific operating area personnel to </w:t>
      </w:r>
      <w:r w:rsidR="006031BD">
        <w:rPr>
          <w:i/>
        </w:rPr>
        <w:t xml:space="preserve">demonstrate </w:t>
      </w:r>
      <w:r>
        <w:rPr>
          <w:i/>
        </w:rPr>
        <w:t>areas of higher/lower relative risk</w:t>
      </w:r>
      <w:r w:rsidR="006031BD">
        <w:rPr>
          <w:i/>
        </w:rPr>
        <w:t xml:space="preserve"> as part of results validation</w:t>
      </w:r>
      <w:r>
        <w:rPr>
          <w:i/>
        </w:rPr>
        <w:t>.</w:t>
      </w:r>
    </w:p>
    <w:p w14:paraId="5FB5A516" w14:textId="18E673C0" w:rsidR="00BC527F" w:rsidRDefault="00BC527F" w:rsidP="00CE3A54">
      <w:pPr>
        <w:ind w:left="360"/>
        <w:rPr>
          <w:i/>
        </w:rPr>
      </w:pPr>
      <w:r>
        <w:rPr>
          <w:i/>
        </w:rPr>
        <w:t>Use scenarios to simulate effectiveness of specific assessments for individual line sections.</w:t>
      </w:r>
      <w:r w:rsidR="00133DE7">
        <w:rPr>
          <w:i/>
        </w:rPr>
        <w:t xml:space="preserve">  Can </w:t>
      </w:r>
      <w:r w:rsidR="00F041FC">
        <w:rPr>
          <w:i/>
        </w:rPr>
        <w:t xml:space="preserve">also </w:t>
      </w:r>
      <w:r w:rsidR="00133DE7">
        <w:rPr>
          <w:i/>
        </w:rPr>
        <w:t>build other scenarios.</w:t>
      </w:r>
    </w:p>
    <w:p w14:paraId="38E96A97" w14:textId="522A3FFE" w:rsidR="00232590" w:rsidRDefault="008934ED" w:rsidP="008934ED">
      <w:pPr>
        <w:ind w:left="360"/>
        <w:rPr>
          <w:i/>
        </w:rPr>
      </w:pPr>
      <w:r>
        <w:rPr>
          <w:i/>
        </w:rPr>
        <w:t>Do have areas of missing data – handled on an individual basis.</w:t>
      </w:r>
      <w:r w:rsidR="006539D9">
        <w:rPr>
          <w:i/>
        </w:rPr>
        <w:t xml:space="preserve">  Put in conservative values as a placeholder</w:t>
      </w:r>
      <w:r w:rsidR="00AF3972">
        <w:rPr>
          <w:i/>
        </w:rPr>
        <w:t>, but a</w:t>
      </w:r>
      <w:r w:rsidR="006539D9">
        <w:rPr>
          <w:i/>
        </w:rPr>
        <w:t xml:space="preserve">lso doing physical work to fill in the gaps (e.g., pipe grade and wall thickness).  </w:t>
      </w:r>
      <w:r w:rsidR="00AF3972">
        <w:rPr>
          <w:i/>
        </w:rPr>
        <w:t>For example, for d</w:t>
      </w:r>
      <w:r w:rsidR="006539D9">
        <w:rPr>
          <w:i/>
        </w:rPr>
        <w:t>ocumented test pressu</w:t>
      </w:r>
      <w:r w:rsidR="00D616D4">
        <w:rPr>
          <w:i/>
        </w:rPr>
        <w:t>r</w:t>
      </w:r>
      <w:r w:rsidR="006539D9">
        <w:rPr>
          <w:i/>
        </w:rPr>
        <w:t>e: all HCA gaps remediated by end of 2016, all transmission gaps remediated by 2020.</w:t>
      </w:r>
      <w:r w:rsidR="00D616D4">
        <w:rPr>
          <w:i/>
        </w:rPr>
        <w:t xml:space="preserve">  One of biggest current data gaps is seam type.</w:t>
      </w:r>
    </w:p>
    <w:p w14:paraId="4FBAE9FD" w14:textId="5252ACB1" w:rsidR="006539D9" w:rsidRDefault="006B7C84" w:rsidP="008934ED">
      <w:pPr>
        <w:ind w:left="360"/>
        <w:rPr>
          <w:i/>
        </w:rPr>
      </w:pPr>
      <w:r>
        <w:rPr>
          <w:i/>
        </w:rPr>
        <w:t xml:space="preserve">Lessons learned – </w:t>
      </w:r>
      <w:r w:rsidR="00C34A19">
        <w:rPr>
          <w:i/>
        </w:rPr>
        <w:t>RoF=</w:t>
      </w:r>
      <w:r>
        <w:rPr>
          <w:i/>
        </w:rPr>
        <w:t>L</w:t>
      </w:r>
      <w:r w:rsidR="00C34A19">
        <w:rPr>
          <w:i/>
        </w:rPr>
        <w:t>o</w:t>
      </w:r>
      <w:r>
        <w:rPr>
          <w:i/>
        </w:rPr>
        <w:t>F*C</w:t>
      </w:r>
      <w:r w:rsidR="00C34A19">
        <w:rPr>
          <w:i/>
        </w:rPr>
        <w:t>o</w:t>
      </w:r>
      <w:r>
        <w:rPr>
          <w:i/>
        </w:rPr>
        <w:t>F over emphasizes the consequence portion</w:t>
      </w:r>
      <w:r w:rsidR="00C34A19">
        <w:rPr>
          <w:i/>
        </w:rPr>
        <w:t xml:space="preserve">; </w:t>
      </w:r>
      <w:r>
        <w:rPr>
          <w:i/>
        </w:rPr>
        <w:t>large number of risk segments makes prioritizing individual segments difficult</w:t>
      </w:r>
      <w:r w:rsidR="00C34A19">
        <w:rPr>
          <w:i/>
        </w:rPr>
        <w:t>;</w:t>
      </w:r>
      <w:r>
        <w:rPr>
          <w:i/>
        </w:rPr>
        <w:t xml:space="preserve"> need to account for cost of remediation activities outside of the risk model for project prioritization.</w:t>
      </w:r>
    </w:p>
    <w:p w14:paraId="17803AED" w14:textId="19130627" w:rsidR="00CE3A54" w:rsidRPr="0044638A" w:rsidRDefault="00CE3A54" w:rsidP="00CE3A54">
      <w:pPr>
        <w:ind w:left="360"/>
        <w:rPr>
          <w:i/>
        </w:rPr>
      </w:pPr>
      <w:r w:rsidRPr="0044638A">
        <w:rPr>
          <w:i/>
        </w:rPr>
        <w:t>Team discussion:</w:t>
      </w:r>
    </w:p>
    <w:p w14:paraId="2D6143E1" w14:textId="28BFD1F2" w:rsidR="001E2D68" w:rsidRPr="00A812BD" w:rsidRDefault="006E431C" w:rsidP="001E2D68">
      <w:pPr>
        <w:pStyle w:val="ListParagraph"/>
        <w:numPr>
          <w:ilvl w:val="0"/>
          <w:numId w:val="9"/>
        </w:numPr>
        <w:rPr>
          <w:i/>
        </w:rPr>
      </w:pPr>
      <w:r>
        <w:rPr>
          <w:i/>
        </w:rPr>
        <w:t>Noted Vectren (like many others) has</w:t>
      </w:r>
      <w:r w:rsidR="004C3B8F">
        <w:rPr>
          <w:i/>
        </w:rPr>
        <w:t xml:space="preserve"> absolute values for cost, but only have relative risk comparisons</w:t>
      </w:r>
      <w:r w:rsidR="0008311B">
        <w:rPr>
          <w:i/>
        </w:rPr>
        <w:t xml:space="preserve"> (inherent aspect of weighted index model).</w:t>
      </w:r>
    </w:p>
    <w:p w14:paraId="69114E3D" w14:textId="35A286E2" w:rsidR="008940EA" w:rsidRPr="006E431C" w:rsidRDefault="00385A77" w:rsidP="006E431C">
      <w:pPr>
        <w:pStyle w:val="ListParagraph"/>
        <w:numPr>
          <w:ilvl w:val="0"/>
          <w:numId w:val="9"/>
        </w:numPr>
        <w:rPr>
          <w:i/>
        </w:rPr>
      </w:pPr>
      <w:r>
        <w:rPr>
          <w:i/>
        </w:rPr>
        <w:t>N</w:t>
      </w:r>
      <w:r w:rsidR="00460B58">
        <w:rPr>
          <w:i/>
        </w:rPr>
        <w:t xml:space="preserve">oted that the slide 8 </w:t>
      </w:r>
      <w:r w:rsidR="00E72CFF">
        <w:rPr>
          <w:i/>
        </w:rPr>
        <w:t>LoF weightings drive results overall, but does not identify individual segment risk that happen</w:t>
      </w:r>
      <w:r w:rsidR="00BE5B88">
        <w:rPr>
          <w:i/>
        </w:rPr>
        <w:t>s</w:t>
      </w:r>
      <w:r w:rsidR="00E72CFF">
        <w:rPr>
          <w:i/>
        </w:rPr>
        <w:t xml:space="preserve"> to be differ</w:t>
      </w:r>
      <w:r>
        <w:rPr>
          <w:i/>
        </w:rPr>
        <w:t>ent for segment-specific reason (inherent aspect</w:t>
      </w:r>
      <w:r w:rsidR="00BE5B88">
        <w:rPr>
          <w:i/>
        </w:rPr>
        <w:t>/limitation</w:t>
      </w:r>
      <w:r>
        <w:rPr>
          <w:i/>
        </w:rPr>
        <w:t xml:space="preserve"> of weighted index model).</w:t>
      </w:r>
    </w:p>
    <w:p w14:paraId="1FE155C6" w14:textId="77777777" w:rsidR="001E2D68" w:rsidRDefault="001E2D68" w:rsidP="001E2D68">
      <w:pPr>
        <w:pStyle w:val="ListParagraph"/>
        <w:ind w:left="360"/>
      </w:pPr>
    </w:p>
    <w:p w14:paraId="5D13E6E1" w14:textId="5D66D1F3" w:rsidR="001E2D68" w:rsidRPr="001E2D68" w:rsidRDefault="004C2C5E" w:rsidP="001E2D68">
      <w:pPr>
        <w:pStyle w:val="ListParagraph"/>
        <w:numPr>
          <w:ilvl w:val="0"/>
          <w:numId w:val="1"/>
        </w:numPr>
      </w:pPr>
      <w:r w:rsidRPr="00344669">
        <w:t>Technical Presentation #</w:t>
      </w:r>
      <w:r w:rsidR="006A5145">
        <w:t>5</w:t>
      </w:r>
      <w:r w:rsidRPr="00344669">
        <w:t xml:space="preserve">: </w:t>
      </w:r>
      <w:r w:rsidR="001E2D68" w:rsidRPr="001E2D68">
        <w:t>Data Quality for Index Models and Migration to Quantitative Models</w:t>
      </w:r>
      <w:r w:rsidR="00912D0E">
        <w:t xml:space="preserve"> (</w:t>
      </w:r>
      <w:r w:rsidR="001E2D68" w:rsidRPr="001E2D68">
        <w:t>Ernest Lever</w:t>
      </w:r>
      <w:r w:rsidR="00912D0E">
        <w:t>;</w:t>
      </w:r>
      <w:r w:rsidR="001E2D68" w:rsidRPr="001E2D68">
        <w:t xml:space="preserve"> GTI)</w:t>
      </w:r>
    </w:p>
    <w:p w14:paraId="5DE890DD" w14:textId="28EAB954" w:rsidR="00D267E5" w:rsidRDefault="002F067F" w:rsidP="004C2C5E">
      <w:pPr>
        <w:ind w:left="360"/>
        <w:rPr>
          <w:i/>
        </w:rPr>
      </w:pPr>
      <w:r>
        <w:rPr>
          <w:i/>
        </w:rPr>
        <w:t xml:space="preserve">Complexity science – </w:t>
      </w:r>
      <w:r w:rsidR="00BB3B94">
        <w:rPr>
          <w:i/>
        </w:rPr>
        <w:t>“</w:t>
      </w:r>
      <w:r w:rsidR="00DD244F">
        <w:rPr>
          <w:i/>
        </w:rPr>
        <w:t>N</w:t>
      </w:r>
      <w:r w:rsidR="00BB3B94">
        <w:rPr>
          <w:i/>
        </w:rPr>
        <w:t>umber of words to describ</w:t>
      </w:r>
      <w:r w:rsidR="00DD244F">
        <w:rPr>
          <w:i/>
        </w:rPr>
        <w:t>e something”; is closely related to information content.</w:t>
      </w:r>
      <w:r w:rsidR="00C66748">
        <w:rPr>
          <w:i/>
        </w:rPr>
        <w:t xml:space="preserve">  Complexity vs. scale should be considered when discussing risk modeling approaches.</w:t>
      </w:r>
      <w:r w:rsidR="00DD244F">
        <w:rPr>
          <w:i/>
        </w:rPr>
        <w:t xml:space="preserve">  </w:t>
      </w:r>
    </w:p>
    <w:p w14:paraId="0F7A1F8D" w14:textId="6B987C59" w:rsidR="00BB3B94" w:rsidRDefault="00BB3B94" w:rsidP="0060522E">
      <w:pPr>
        <w:ind w:left="360"/>
        <w:rPr>
          <w:i/>
        </w:rPr>
      </w:pPr>
      <w:r>
        <w:rPr>
          <w:i/>
        </w:rPr>
        <w:t>Predicting the future – past is a poor indicator of the future</w:t>
      </w:r>
      <w:r w:rsidR="00731B36">
        <w:rPr>
          <w:i/>
        </w:rPr>
        <w:t>; why?  Real world “s</w:t>
      </w:r>
      <w:r>
        <w:rPr>
          <w:i/>
        </w:rPr>
        <w:t>ystems of systems</w:t>
      </w:r>
      <w:r w:rsidR="00731B36">
        <w:rPr>
          <w:i/>
        </w:rPr>
        <w:t xml:space="preserve">” behavior </w:t>
      </w:r>
      <w:r>
        <w:rPr>
          <w:i/>
        </w:rPr>
        <w:t xml:space="preserve">can take a long time to see all </w:t>
      </w:r>
      <w:r w:rsidR="00731B36">
        <w:rPr>
          <w:i/>
        </w:rPr>
        <w:t xml:space="preserve">interaction </w:t>
      </w:r>
      <w:r>
        <w:rPr>
          <w:i/>
        </w:rPr>
        <w:t>states; independ</w:t>
      </w:r>
      <w:r w:rsidR="0060522E">
        <w:rPr>
          <w:i/>
        </w:rPr>
        <w:t>ent event interactions</w:t>
      </w:r>
      <w:r w:rsidR="003768F2">
        <w:rPr>
          <w:i/>
        </w:rPr>
        <w:t xml:space="preserve"> are not influenced by past events </w:t>
      </w:r>
      <w:r w:rsidR="00387FB4">
        <w:rPr>
          <w:i/>
        </w:rPr>
        <w:t xml:space="preserve">(i.e., the process has no memory) </w:t>
      </w:r>
      <w:r w:rsidR="003768F2">
        <w:rPr>
          <w:i/>
        </w:rPr>
        <w:t xml:space="preserve">and </w:t>
      </w:r>
      <w:r w:rsidR="00387FB4">
        <w:rPr>
          <w:i/>
        </w:rPr>
        <w:t xml:space="preserve">it is </w:t>
      </w:r>
      <w:r w:rsidR="003768F2">
        <w:rPr>
          <w:i/>
        </w:rPr>
        <w:t xml:space="preserve">challenging to </w:t>
      </w:r>
      <w:r w:rsidR="0060522E">
        <w:rPr>
          <w:i/>
        </w:rPr>
        <w:t xml:space="preserve">predict </w:t>
      </w:r>
      <w:r w:rsidR="00387FB4">
        <w:rPr>
          <w:i/>
        </w:rPr>
        <w:t xml:space="preserve">these interactions </w:t>
      </w:r>
      <w:r w:rsidR="003768F2">
        <w:rPr>
          <w:i/>
        </w:rPr>
        <w:t xml:space="preserve">for any </w:t>
      </w:r>
      <w:r w:rsidR="00387FB4">
        <w:rPr>
          <w:i/>
        </w:rPr>
        <w:t xml:space="preserve">specific </w:t>
      </w:r>
      <w:r w:rsidR="003768F2">
        <w:rPr>
          <w:i/>
        </w:rPr>
        <w:t>time period.</w:t>
      </w:r>
    </w:p>
    <w:p w14:paraId="7CAEA0A7" w14:textId="1FD9BFB3" w:rsidR="0060522E" w:rsidRDefault="0060522E" w:rsidP="0060522E">
      <w:pPr>
        <w:ind w:left="360"/>
        <w:rPr>
          <w:i/>
        </w:rPr>
      </w:pPr>
      <w:r>
        <w:rPr>
          <w:i/>
        </w:rPr>
        <w:t>Predicting the next outcome</w:t>
      </w:r>
      <w:r w:rsidR="00A91EC1">
        <w:rPr>
          <w:i/>
        </w:rPr>
        <w:t xml:space="preserve"> (developing distributions for risk models)</w:t>
      </w:r>
      <w:r>
        <w:rPr>
          <w:i/>
        </w:rPr>
        <w:t xml:space="preserve"> – Need to identify possible system states.  </w:t>
      </w:r>
      <w:r w:rsidR="00FF4702">
        <w:rPr>
          <w:i/>
        </w:rPr>
        <w:t>Can think of as a s</w:t>
      </w:r>
      <w:r>
        <w:rPr>
          <w:i/>
        </w:rPr>
        <w:t>eries of Bernoulli interactions, therefore can define a beta distribution from data.</w:t>
      </w:r>
      <w:r w:rsidR="00CD4A5F">
        <w:rPr>
          <w:i/>
        </w:rPr>
        <w:t xml:space="preserve">  Can then apply Bayesian updating for field data.  Typical application can be </w:t>
      </w:r>
      <w:r w:rsidR="00CD4A5F">
        <w:rPr>
          <w:i/>
        </w:rPr>
        <w:lastRenderedPageBreak/>
        <w:t xml:space="preserve">sampling to determine if a </w:t>
      </w:r>
      <w:r w:rsidR="00FF4702">
        <w:rPr>
          <w:i/>
        </w:rPr>
        <w:t>known defect is present (or extent of presence) in the overall population</w:t>
      </w:r>
      <w:r w:rsidR="009B15FF">
        <w:rPr>
          <w:i/>
        </w:rPr>
        <w:t xml:space="preserve"> (e.g., hypergeometric sampling)</w:t>
      </w:r>
      <w:r w:rsidR="00FF4702">
        <w:rPr>
          <w:i/>
        </w:rPr>
        <w:t>.</w:t>
      </w:r>
    </w:p>
    <w:p w14:paraId="71C7CEB2" w14:textId="5BEFDE1D" w:rsidR="008E5EEA" w:rsidRDefault="00CD4A5F" w:rsidP="0060522E">
      <w:pPr>
        <w:ind w:left="360"/>
        <w:rPr>
          <w:i/>
        </w:rPr>
      </w:pPr>
      <w:r>
        <w:rPr>
          <w:i/>
        </w:rPr>
        <w:t>Incorporating Data Quality Metrics – For poorly understood system</w:t>
      </w:r>
      <w:r w:rsidR="00DE1BC1">
        <w:rPr>
          <w:i/>
        </w:rPr>
        <w:t>,</w:t>
      </w:r>
      <w:r>
        <w:rPr>
          <w:i/>
        </w:rPr>
        <w:t xml:space="preserve"> d</w:t>
      </w:r>
      <w:r w:rsidR="008E5EEA">
        <w:rPr>
          <w:i/>
        </w:rPr>
        <w:t>a</w:t>
      </w:r>
      <w:r>
        <w:rPr>
          <w:i/>
        </w:rPr>
        <w:t>ta quali</w:t>
      </w:r>
      <w:r w:rsidR="008E5EEA">
        <w:rPr>
          <w:i/>
        </w:rPr>
        <w:t>t</w:t>
      </w:r>
      <w:r>
        <w:rPr>
          <w:i/>
        </w:rPr>
        <w:t xml:space="preserve">y </w:t>
      </w:r>
      <w:r w:rsidR="00DE1BC1">
        <w:rPr>
          <w:i/>
        </w:rPr>
        <w:t xml:space="preserve">score </w:t>
      </w:r>
      <w:r>
        <w:rPr>
          <w:i/>
        </w:rPr>
        <w:t xml:space="preserve">is </w:t>
      </w:r>
      <w:r w:rsidR="00DE1BC1">
        <w:rPr>
          <w:i/>
        </w:rPr>
        <w:t>arrived at through an audit process</w:t>
      </w:r>
      <w:r>
        <w:rPr>
          <w:i/>
        </w:rPr>
        <w:t xml:space="preserve">.  How </w:t>
      </w:r>
      <w:r w:rsidR="008450A3">
        <w:rPr>
          <w:i/>
        </w:rPr>
        <w:t>extr</w:t>
      </w:r>
      <w:r w:rsidR="00212AF0">
        <w:rPr>
          <w:i/>
        </w:rPr>
        <w:t xml:space="preserve">apolate </w:t>
      </w:r>
      <w:r>
        <w:rPr>
          <w:i/>
        </w:rPr>
        <w:t>to</w:t>
      </w:r>
      <w:r w:rsidR="00212AF0">
        <w:rPr>
          <w:i/>
        </w:rPr>
        <w:t xml:space="preserve"> the</w:t>
      </w:r>
      <w:r>
        <w:rPr>
          <w:i/>
        </w:rPr>
        <w:t xml:space="preserve"> broader system</w:t>
      </w:r>
      <w:r w:rsidR="00212AF0">
        <w:rPr>
          <w:i/>
        </w:rPr>
        <w:t xml:space="preserve"> as a whole</w:t>
      </w:r>
      <w:r>
        <w:rPr>
          <w:i/>
        </w:rPr>
        <w:t xml:space="preserve">? </w:t>
      </w:r>
      <w:r w:rsidR="00AF070F">
        <w:rPr>
          <w:i/>
        </w:rPr>
        <w:t xml:space="preserve"> </w:t>
      </w:r>
      <w:r w:rsidR="008E5EEA">
        <w:rPr>
          <w:i/>
        </w:rPr>
        <w:t xml:space="preserve">Is a risk tolerance issue for an organization to decide.  Can then evaluate validity of available data.  Can use Bayesian update techniques to update data to </w:t>
      </w:r>
      <w:r w:rsidR="00AF070F">
        <w:rPr>
          <w:i/>
        </w:rPr>
        <w:t xml:space="preserve">understand areas of higher uncertainty and then work to </w:t>
      </w:r>
      <w:r w:rsidR="008E5EEA">
        <w:rPr>
          <w:i/>
        </w:rPr>
        <w:t xml:space="preserve">improve overall </w:t>
      </w:r>
      <w:r w:rsidR="00AF070F">
        <w:rPr>
          <w:i/>
        </w:rPr>
        <w:t xml:space="preserve">data </w:t>
      </w:r>
      <w:r w:rsidR="008E5EEA">
        <w:rPr>
          <w:i/>
        </w:rPr>
        <w:t>quality over time.</w:t>
      </w:r>
      <w:r w:rsidR="00152200">
        <w:rPr>
          <w:i/>
        </w:rPr>
        <w:t xml:space="preserve">  [Is anal</w:t>
      </w:r>
      <w:r w:rsidR="00AF070F">
        <w:rPr>
          <w:i/>
        </w:rPr>
        <w:t>ogous to six sigma approaches that</w:t>
      </w:r>
      <w:r w:rsidR="00152200">
        <w:rPr>
          <w:i/>
        </w:rPr>
        <w:t xml:space="preserve"> </w:t>
      </w:r>
      <w:r w:rsidR="001953CB">
        <w:rPr>
          <w:i/>
        </w:rPr>
        <w:t>identify</w:t>
      </w:r>
      <w:r w:rsidR="00152200">
        <w:rPr>
          <w:i/>
        </w:rPr>
        <w:t xml:space="preserve"> the most important process/variable and optimize that.]</w:t>
      </w:r>
    </w:p>
    <w:p w14:paraId="58AACB16" w14:textId="4AC402FB" w:rsidR="005350ED" w:rsidRDefault="005350ED" w:rsidP="00B23E8A">
      <w:pPr>
        <w:ind w:left="360"/>
        <w:rPr>
          <w:i/>
        </w:rPr>
      </w:pPr>
      <w:r>
        <w:rPr>
          <w:i/>
        </w:rPr>
        <w:t xml:space="preserve">Subject Matter Expertise – </w:t>
      </w:r>
      <w:r w:rsidR="00C93845">
        <w:rPr>
          <w:i/>
        </w:rPr>
        <w:t>various techniques available to elicit and combine.</w:t>
      </w:r>
      <w:r w:rsidR="00B23E8A">
        <w:rPr>
          <w:i/>
        </w:rPr>
        <w:t xml:space="preserve">  Noted that i</w:t>
      </w:r>
      <w:r w:rsidR="00B23E8A" w:rsidRPr="00B23E8A">
        <w:rPr>
          <w:i/>
        </w:rPr>
        <w:t>t is</w:t>
      </w:r>
      <w:r w:rsidR="00B23E8A">
        <w:rPr>
          <w:i/>
        </w:rPr>
        <w:t xml:space="preserve"> p</w:t>
      </w:r>
      <w:r w:rsidR="00B23E8A" w:rsidRPr="00B23E8A">
        <w:rPr>
          <w:i/>
        </w:rPr>
        <w:t>ossible to construct hybrid Bayesian</w:t>
      </w:r>
      <w:r w:rsidR="00B23E8A">
        <w:rPr>
          <w:i/>
        </w:rPr>
        <w:t xml:space="preserve"> </w:t>
      </w:r>
      <w:r w:rsidR="00B23E8A" w:rsidRPr="00B23E8A">
        <w:rPr>
          <w:i/>
        </w:rPr>
        <w:t>networks that compare the performance of</w:t>
      </w:r>
      <w:r w:rsidR="00B23E8A">
        <w:rPr>
          <w:i/>
        </w:rPr>
        <w:t xml:space="preserve"> </w:t>
      </w:r>
      <w:r w:rsidR="00B23E8A" w:rsidRPr="00B23E8A">
        <w:rPr>
          <w:i/>
        </w:rPr>
        <w:t>competing expert models given different data</w:t>
      </w:r>
      <w:r w:rsidR="00B23E8A">
        <w:rPr>
          <w:i/>
        </w:rPr>
        <w:t>.</w:t>
      </w:r>
    </w:p>
    <w:p w14:paraId="5AAF0838" w14:textId="18079ECD" w:rsidR="00C93845" w:rsidRDefault="00C93845" w:rsidP="005350ED">
      <w:pPr>
        <w:ind w:left="360"/>
        <w:rPr>
          <w:i/>
        </w:rPr>
      </w:pPr>
      <w:r>
        <w:rPr>
          <w:i/>
        </w:rPr>
        <w:t>Optimization – E.g., risk reduction activ</w:t>
      </w:r>
      <w:r w:rsidR="00EA7940">
        <w:rPr>
          <w:i/>
        </w:rPr>
        <w:t>it</w:t>
      </w:r>
      <w:r>
        <w:rPr>
          <w:i/>
        </w:rPr>
        <w:t xml:space="preserve">ies.  </w:t>
      </w:r>
      <w:r w:rsidR="00067990">
        <w:rPr>
          <w:i/>
        </w:rPr>
        <w:t>Noted that it is</w:t>
      </w:r>
      <w:r>
        <w:rPr>
          <w:i/>
        </w:rPr>
        <w:t xml:space="preserve"> important to evaluate many diverse approaches and identify which approach is best </w:t>
      </w:r>
      <w:r w:rsidR="00F757DC">
        <w:rPr>
          <w:i/>
        </w:rPr>
        <w:t>for</w:t>
      </w:r>
      <w:r>
        <w:rPr>
          <w:i/>
        </w:rPr>
        <w:t xml:space="preserve"> particular si</w:t>
      </w:r>
      <w:r w:rsidR="00067990">
        <w:rPr>
          <w:i/>
        </w:rPr>
        <w:t>tuations (situational awareness)</w:t>
      </w:r>
      <w:r>
        <w:rPr>
          <w:i/>
        </w:rPr>
        <w:t>.</w:t>
      </w:r>
      <w:r w:rsidR="00067990">
        <w:rPr>
          <w:i/>
        </w:rPr>
        <w:t xml:space="preserve">  Also important to update on a frequent basis to understand if overall risk is trending in the correct direction.</w:t>
      </w:r>
    </w:p>
    <w:p w14:paraId="272C2EB6" w14:textId="4D9E20C8" w:rsidR="004C2C5E" w:rsidRPr="00774F18" w:rsidRDefault="00904A00" w:rsidP="004C2C5E">
      <w:pPr>
        <w:ind w:left="360"/>
        <w:rPr>
          <w:i/>
        </w:rPr>
      </w:pPr>
      <w:r w:rsidRPr="0044638A">
        <w:rPr>
          <w:i/>
        </w:rPr>
        <w:t>Team</w:t>
      </w:r>
      <w:r w:rsidR="004C2C5E" w:rsidRPr="0044638A">
        <w:rPr>
          <w:i/>
        </w:rPr>
        <w:t xml:space="preserve"> discussion:</w:t>
      </w:r>
    </w:p>
    <w:p w14:paraId="0FBC3A86" w14:textId="4B371E6A" w:rsidR="00311261" w:rsidRDefault="00311261" w:rsidP="00311261">
      <w:pPr>
        <w:pStyle w:val="ListParagraph"/>
        <w:numPr>
          <w:ilvl w:val="0"/>
          <w:numId w:val="9"/>
        </w:numPr>
        <w:rPr>
          <w:i/>
        </w:rPr>
      </w:pPr>
      <w:r w:rsidRPr="00311261">
        <w:rPr>
          <w:i/>
        </w:rPr>
        <w:t>How m</w:t>
      </w:r>
      <w:r>
        <w:rPr>
          <w:i/>
        </w:rPr>
        <w:t>ake all this actionable? Is often as much a matter of how the risk analysis is handled by the overall risk management approach</w:t>
      </w:r>
      <w:r w:rsidR="002E00D6">
        <w:rPr>
          <w:i/>
        </w:rPr>
        <w:t>, as opposed the details of the particular modeling approach that is adopted</w:t>
      </w:r>
      <w:r>
        <w:rPr>
          <w:i/>
        </w:rPr>
        <w:t>.</w:t>
      </w:r>
    </w:p>
    <w:p w14:paraId="2E3E4723" w14:textId="7BFB20F2" w:rsidR="00774F18" w:rsidRPr="002E00D6" w:rsidRDefault="00A77B52" w:rsidP="002E00D6">
      <w:pPr>
        <w:pStyle w:val="ListParagraph"/>
        <w:numPr>
          <w:ilvl w:val="0"/>
          <w:numId w:val="9"/>
        </w:numPr>
        <w:rPr>
          <w:i/>
        </w:rPr>
      </w:pPr>
      <w:r>
        <w:rPr>
          <w:i/>
        </w:rPr>
        <w:t>Industry unified approaches for risk analysis approaches would be useful.</w:t>
      </w:r>
    </w:p>
    <w:p w14:paraId="7C4EB876" w14:textId="77777777" w:rsidR="00BB1FAF" w:rsidRPr="00BB1FAF" w:rsidRDefault="00BB1FAF" w:rsidP="00BB1FAF">
      <w:pPr>
        <w:pStyle w:val="ListParagraph"/>
        <w:ind w:left="360"/>
        <w:rPr>
          <w:i/>
        </w:rPr>
      </w:pPr>
    </w:p>
    <w:p w14:paraId="07BB6198" w14:textId="77777777" w:rsidR="0004469C" w:rsidRPr="00344669" w:rsidRDefault="00C24CB9" w:rsidP="00C24CB9">
      <w:pPr>
        <w:pStyle w:val="ListParagraph"/>
        <w:numPr>
          <w:ilvl w:val="0"/>
          <w:numId w:val="1"/>
        </w:numPr>
      </w:pPr>
      <w:r w:rsidRPr="00344669">
        <w:t>Exit De-briefing</w:t>
      </w:r>
      <w:r w:rsidR="0004469C" w:rsidRPr="00344669">
        <w:t xml:space="preserve"> (Steve Nanney)</w:t>
      </w:r>
    </w:p>
    <w:p w14:paraId="3028B2F3" w14:textId="77777777" w:rsidR="00472D54" w:rsidRDefault="00472D54" w:rsidP="00472D54">
      <w:pPr>
        <w:pStyle w:val="ListParagraph"/>
        <w:spacing w:before="120"/>
        <w:ind w:left="1080"/>
      </w:pPr>
    </w:p>
    <w:p w14:paraId="3A9BB719" w14:textId="47089AD5" w:rsidR="0004469C" w:rsidRPr="00344669" w:rsidRDefault="0004469C" w:rsidP="00472D54">
      <w:pPr>
        <w:pStyle w:val="ListParagraph"/>
        <w:numPr>
          <w:ilvl w:val="1"/>
          <w:numId w:val="1"/>
        </w:numPr>
      </w:pPr>
      <w:r w:rsidRPr="00344669">
        <w:t>A</w:t>
      </w:r>
      <w:r w:rsidR="00C24CB9" w:rsidRPr="00344669">
        <w:t>ny needs from scribe for exit notes?</w:t>
      </w:r>
      <w:r w:rsidR="00701500">
        <w:t xml:space="preserve">  </w:t>
      </w:r>
      <w:r w:rsidR="00701500">
        <w:rPr>
          <w:i/>
        </w:rPr>
        <w:t>None identified.</w:t>
      </w:r>
    </w:p>
    <w:p w14:paraId="02CBFA60" w14:textId="77777777" w:rsidR="0004469C" w:rsidRPr="00344669" w:rsidRDefault="0004469C" w:rsidP="0004469C">
      <w:pPr>
        <w:pStyle w:val="ListParagraph"/>
        <w:ind w:left="1080"/>
      </w:pPr>
    </w:p>
    <w:p w14:paraId="6650E281" w14:textId="187CF253" w:rsidR="00C24CB9" w:rsidRPr="00344669" w:rsidRDefault="00C24CB9" w:rsidP="00C24CB9">
      <w:pPr>
        <w:pStyle w:val="ListParagraph"/>
        <w:numPr>
          <w:ilvl w:val="1"/>
          <w:numId w:val="1"/>
        </w:numPr>
      </w:pPr>
      <w:r w:rsidRPr="00344669">
        <w:t>Any group member comments on the conduct of the meeting and any improvements that could be implemented?</w:t>
      </w:r>
      <w:r w:rsidR="00701500">
        <w:t xml:space="preserve">  </w:t>
      </w:r>
      <w:r w:rsidR="00701500" w:rsidRPr="00A55010">
        <w:rPr>
          <w:i/>
        </w:rPr>
        <w:t>None identified.</w:t>
      </w:r>
    </w:p>
    <w:p w14:paraId="480E6075" w14:textId="77777777" w:rsidR="00960E3C" w:rsidRPr="00344669" w:rsidRDefault="00960E3C">
      <w:r w:rsidRPr="00344669">
        <w:br w:type="page"/>
      </w:r>
    </w:p>
    <w:p w14:paraId="6A974111" w14:textId="259D7D5D" w:rsidR="00960E3C" w:rsidRDefault="00960E3C" w:rsidP="00960E3C">
      <w:pPr>
        <w:spacing w:after="200" w:line="276" w:lineRule="auto"/>
        <w:rPr>
          <w:b/>
          <w:u w:val="single"/>
        </w:rPr>
      </w:pPr>
      <w:r w:rsidRPr="00344669">
        <w:rPr>
          <w:b/>
          <w:u w:val="single"/>
        </w:rPr>
        <w:lastRenderedPageBreak/>
        <w:t>Attachment 1 – Meeting Participants</w:t>
      </w:r>
      <w:r w:rsidR="00A102EC">
        <w:rPr>
          <w:b/>
          <w:u w:val="single"/>
        </w:rPr>
        <w:t xml:space="preserve"> (* indicate</w:t>
      </w:r>
      <w:r w:rsidR="00A9772F">
        <w:rPr>
          <w:b/>
          <w:u w:val="single"/>
        </w:rPr>
        <w:t>s</w:t>
      </w:r>
      <w:r w:rsidR="00A102EC">
        <w:rPr>
          <w:b/>
          <w:u w:val="single"/>
        </w:rPr>
        <w:t xml:space="preserve"> remote participant)</w:t>
      </w:r>
      <w:r w:rsidR="00A63FB4">
        <w:rPr>
          <w:b/>
          <w:u w:val="single"/>
        </w:rPr>
        <w:t xml:space="preserve"> </w:t>
      </w:r>
    </w:p>
    <w:tbl>
      <w:tblPr>
        <w:tblW w:w="67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25"/>
        <w:gridCol w:w="4320"/>
      </w:tblGrid>
      <w:tr w:rsidR="0030443A" w:rsidRPr="00EE6AA9" w14:paraId="66DC44F2" w14:textId="77777777" w:rsidTr="0030443A">
        <w:trPr>
          <w:trHeight w:val="255"/>
        </w:trPr>
        <w:tc>
          <w:tcPr>
            <w:tcW w:w="2425" w:type="dxa"/>
            <w:shd w:val="clear" w:color="auto" w:fill="auto"/>
            <w:noWrap/>
            <w:vAlign w:val="bottom"/>
          </w:tcPr>
          <w:p w14:paraId="2A93995F" w14:textId="58DDCCDA" w:rsidR="0030443A" w:rsidRPr="00EE6AA9" w:rsidRDefault="0030443A" w:rsidP="00EE6AA9">
            <w:pPr>
              <w:spacing w:after="200" w:line="276" w:lineRule="auto"/>
            </w:pPr>
            <w:r>
              <w:t>Name</w:t>
            </w:r>
          </w:p>
        </w:tc>
        <w:tc>
          <w:tcPr>
            <w:tcW w:w="4320" w:type="dxa"/>
            <w:shd w:val="clear" w:color="auto" w:fill="auto"/>
            <w:noWrap/>
            <w:vAlign w:val="center"/>
          </w:tcPr>
          <w:p w14:paraId="7B6F8E0D" w14:textId="225E6FAC" w:rsidR="0030443A" w:rsidRPr="00EE6AA9" w:rsidRDefault="0030443A" w:rsidP="00EE6AA9">
            <w:pPr>
              <w:spacing w:after="200" w:line="276" w:lineRule="auto"/>
            </w:pPr>
            <w:r>
              <w:t>Organization</w:t>
            </w:r>
          </w:p>
        </w:tc>
      </w:tr>
      <w:tr w:rsidR="0030443A" w:rsidRPr="00EE6AA9" w14:paraId="6249A727" w14:textId="77777777" w:rsidTr="0030443A">
        <w:trPr>
          <w:trHeight w:val="255"/>
        </w:trPr>
        <w:tc>
          <w:tcPr>
            <w:tcW w:w="2425" w:type="dxa"/>
            <w:shd w:val="clear" w:color="auto" w:fill="auto"/>
            <w:noWrap/>
            <w:vAlign w:val="bottom"/>
            <w:hideMark/>
          </w:tcPr>
          <w:p w14:paraId="558B8CDA" w14:textId="77777777" w:rsidR="0030443A" w:rsidRPr="00EE6AA9" w:rsidRDefault="0030443A" w:rsidP="00EE6AA9">
            <w:pPr>
              <w:spacing w:after="200" w:line="276" w:lineRule="auto"/>
            </w:pPr>
            <w:r w:rsidRPr="00EE6AA9">
              <w:t>Ernest Lever</w:t>
            </w:r>
          </w:p>
        </w:tc>
        <w:tc>
          <w:tcPr>
            <w:tcW w:w="4320" w:type="dxa"/>
            <w:shd w:val="clear" w:color="auto" w:fill="auto"/>
            <w:noWrap/>
            <w:vAlign w:val="center"/>
            <w:hideMark/>
          </w:tcPr>
          <w:p w14:paraId="65A7606F" w14:textId="1B1B705B" w:rsidR="0030443A" w:rsidRPr="00EE6AA9" w:rsidRDefault="0030443A" w:rsidP="00EE6AA9">
            <w:pPr>
              <w:spacing w:after="200" w:line="276" w:lineRule="auto"/>
            </w:pPr>
            <w:r>
              <w:t>GTI</w:t>
            </w:r>
          </w:p>
        </w:tc>
      </w:tr>
      <w:tr w:rsidR="0030443A" w:rsidRPr="00EE6AA9" w14:paraId="266834B4" w14:textId="77777777" w:rsidTr="0030443A">
        <w:trPr>
          <w:trHeight w:val="255"/>
        </w:trPr>
        <w:tc>
          <w:tcPr>
            <w:tcW w:w="2425" w:type="dxa"/>
            <w:shd w:val="clear" w:color="auto" w:fill="auto"/>
            <w:noWrap/>
            <w:vAlign w:val="bottom"/>
            <w:hideMark/>
          </w:tcPr>
          <w:p w14:paraId="3E9E6B18" w14:textId="06B204D1" w:rsidR="0030443A" w:rsidRPr="00EE6AA9" w:rsidRDefault="0030443A" w:rsidP="00EE6AA9">
            <w:pPr>
              <w:spacing w:after="200" w:line="276" w:lineRule="auto"/>
            </w:pPr>
            <w:r w:rsidRPr="00EE6AA9">
              <w:t>CJ Osman</w:t>
            </w:r>
            <w:r>
              <w:t>*</w:t>
            </w:r>
          </w:p>
        </w:tc>
        <w:tc>
          <w:tcPr>
            <w:tcW w:w="4320" w:type="dxa"/>
            <w:shd w:val="clear" w:color="auto" w:fill="auto"/>
            <w:noWrap/>
            <w:vAlign w:val="center"/>
            <w:hideMark/>
          </w:tcPr>
          <w:p w14:paraId="5E7F4F15" w14:textId="534E5B98" w:rsidR="0030443A" w:rsidRPr="00EE6AA9" w:rsidRDefault="0030443A" w:rsidP="00EE6AA9">
            <w:pPr>
              <w:spacing w:after="200" w:line="276" w:lineRule="auto"/>
            </w:pPr>
            <w:r>
              <w:t>INGAA</w:t>
            </w:r>
          </w:p>
        </w:tc>
      </w:tr>
      <w:tr w:rsidR="0030443A" w:rsidRPr="00EE6AA9" w14:paraId="574BEF66" w14:textId="77777777" w:rsidTr="0030443A">
        <w:trPr>
          <w:trHeight w:val="255"/>
        </w:trPr>
        <w:tc>
          <w:tcPr>
            <w:tcW w:w="2425" w:type="dxa"/>
            <w:shd w:val="clear" w:color="auto" w:fill="auto"/>
            <w:noWrap/>
            <w:vAlign w:val="bottom"/>
            <w:hideMark/>
          </w:tcPr>
          <w:p w14:paraId="06BAAA59" w14:textId="77777777" w:rsidR="0030443A" w:rsidRPr="00EE6AA9" w:rsidRDefault="0030443A" w:rsidP="00EE6AA9">
            <w:pPr>
              <w:spacing w:after="200" w:line="276" w:lineRule="auto"/>
            </w:pPr>
            <w:r w:rsidRPr="00EE6AA9">
              <w:t>Chris Mclaren</w:t>
            </w:r>
          </w:p>
        </w:tc>
        <w:tc>
          <w:tcPr>
            <w:tcW w:w="4320" w:type="dxa"/>
            <w:shd w:val="clear" w:color="auto" w:fill="auto"/>
            <w:noWrap/>
            <w:vAlign w:val="center"/>
            <w:hideMark/>
          </w:tcPr>
          <w:p w14:paraId="4225BA5A" w14:textId="66470C4D" w:rsidR="0030443A" w:rsidRPr="00EE6AA9" w:rsidRDefault="0030443A" w:rsidP="00EE6AA9">
            <w:pPr>
              <w:spacing w:after="200" w:line="276" w:lineRule="auto"/>
            </w:pPr>
            <w:r>
              <w:t>PHMSA</w:t>
            </w:r>
          </w:p>
        </w:tc>
      </w:tr>
      <w:tr w:rsidR="0030443A" w:rsidRPr="00EE6AA9" w14:paraId="2B3072B7" w14:textId="77777777" w:rsidTr="0030443A">
        <w:trPr>
          <w:trHeight w:val="255"/>
        </w:trPr>
        <w:tc>
          <w:tcPr>
            <w:tcW w:w="2425" w:type="dxa"/>
            <w:shd w:val="clear" w:color="auto" w:fill="auto"/>
            <w:noWrap/>
            <w:vAlign w:val="bottom"/>
            <w:hideMark/>
          </w:tcPr>
          <w:p w14:paraId="172BF6B9" w14:textId="77777777" w:rsidR="0030443A" w:rsidRPr="00EE6AA9" w:rsidRDefault="0030443A" w:rsidP="00EE6AA9">
            <w:pPr>
              <w:spacing w:after="200" w:line="276" w:lineRule="auto"/>
            </w:pPr>
            <w:r w:rsidRPr="00EE6AA9">
              <w:t>Shahani Kariyawasam</w:t>
            </w:r>
          </w:p>
        </w:tc>
        <w:tc>
          <w:tcPr>
            <w:tcW w:w="4320" w:type="dxa"/>
            <w:shd w:val="clear" w:color="auto" w:fill="auto"/>
            <w:noWrap/>
            <w:vAlign w:val="center"/>
            <w:hideMark/>
          </w:tcPr>
          <w:p w14:paraId="0CA4C272" w14:textId="390ADC27" w:rsidR="0030443A" w:rsidRPr="00EE6AA9" w:rsidRDefault="0030443A" w:rsidP="00EE6AA9">
            <w:pPr>
              <w:spacing w:after="200" w:line="276" w:lineRule="auto"/>
            </w:pPr>
            <w:r>
              <w:t>TransCanada</w:t>
            </w:r>
          </w:p>
        </w:tc>
      </w:tr>
      <w:tr w:rsidR="0030443A" w:rsidRPr="00EE6AA9" w14:paraId="1C9E26B9" w14:textId="77777777" w:rsidTr="0030443A">
        <w:trPr>
          <w:trHeight w:val="255"/>
        </w:trPr>
        <w:tc>
          <w:tcPr>
            <w:tcW w:w="2425" w:type="dxa"/>
            <w:shd w:val="clear" w:color="auto" w:fill="auto"/>
            <w:noWrap/>
            <w:vAlign w:val="bottom"/>
            <w:hideMark/>
          </w:tcPr>
          <w:p w14:paraId="7CADA5FA" w14:textId="77777777" w:rsidR="0030443A" w:rsidRPr="00EE6AA9" w:rsidRDefault="0030443A" w:rsidP="00EE6AA9">
            <w:pPr>
              <w:spacing w:after="200" w:line="276" w:lineRule="auto"/>
            </w:pPr>
            <w:r w:rsidRPr="00EE6AA9">
              <w:t>Mark Hereth</w:t>
            </w:r>
          </w:p>
        </w:tc>
        <w:tc>
          <w:tcPr>
            <w:tcW w:w="4320" w:type="dxa"/>
            <w:shd w:val="clear" w:color="auto" w:fill="auto"/>
            <w:noWrap/>
            <w:vAlign w:val="center"/>
            <w:hideMark/>
          </w:tcPr>
          <w:p w14:paraId="2CC55D4F" w14:textId="31677A6C" w:rsidR="0030443A" w:rsidRPr="00EE6AA9" w:rsidRDefault="0030443A" w:rsidP="00EE6AA9">
            <w:pPr>
              <w:spacing w:after="200" w:line="276" w:lineRule="auto"/>
            </w:pPr>
            <w:r>
              <w:t>P</w:t>
            </w:r>
            <w:r w:rsidR="000A164D">
              <w:t>-</w:t>
            </w:r>
            <w:r>
              <w:t>PIC</w:t>
            </w:r>
          </w:p>
        </w:tc>
      </w:tr>
      <w:tr w:rsidR="0030443A" w:rsidRPr="00EE6AA9" w14:paraId="5C6E4D00" w14:textId="77777777" w:rsidTr="0030443A">
        <w:trPr>
          <w:trHeight w:val="255"/>
        </w:trPr>
        <w:tc>
          <w:tcPr>
            <w:tcW w:w="2425" w:type="dxa"/>
            <w:shd w:val="clear" w:color="auto" w:fill="auto"/>
            <w:noWrap/>
            <w:vAlign w:val="bottom"/>
            <w:hideMark/>
          </w:tcPr>
          <w:p w14:paraId="7A4057D4" w14:textId="77777777" w:rsidR="0030443A" w:rsidRPr="00EE6AA9" w:rsidRDefault="0030443A" w:rsidP="00EE6AA9">
            <w:pPr>
              <w:spacing w:after="200" w:line="276" w:lineRule="auto"/>
            </w:pPr>
            <w:r w:rsidRPr="00EE6AA9">
              <w:t>Keith Leewis</w:t>
            </w:r>
          </w:p>
        </w:tc>
        <w:tc>
          <w:tcPr>
            <w:tcW w:w="4320" w:type="dxa"/>
            <w:shd w:val="clear" w:color="auto" w:fill="auto"/>
            <w:noWrap/>
            <w:vAlign w:val="center"/>
            <w:hideMark/>
          </w:tcPr>
          <w:p w14:paraId="11764AF1" w14:textId="212CC2E8" w:rsidR="0030443A" w:rsidRPr="00EE6AA9" w:rsidRDefault="00181BED" w:rsidP="00EE6AA9">
            <w:pPr>
              <w:spacing w:after="200" w:line="276" w:lineRule="auto"/>
            </w:pPr>
            <w:r>
              <w:t>Leewis &amp; Associates (B31.8 &amp; B31.8S)</w:t>
            </w:r>
          </w:p>
        </w:tc>
      </w:tr>
      <w:tr w:rsidR="0030443A" w:rsidRPr="00EE6AA9" w14:paraId="3D078C44" w14:textId="77777777" w:rsidTr="0030443A">
        <w:trPr>
          <w:trHeight w:val="255"/>
        </w:trPr>
        <w:tc>
          <w:tcPr>
            <w:tcW w:w="2425" w:type="dxa"/>
            <w:shd w:val="clear" w:color="auto" w:fill="auto"/>
            <w:noWrap/>
            <w:vAlign w:val="bottom"/>
            <w:hideMark/>
          </w:tcPr>
          <w:p w14:paraId="0E8CDED5" w14:textId="77777777" w:rsidR="0030443A" w:rsidRPr="00EE6AA9" w:rsidRDefault="0030443A" w:rsidP="00EE6AA9">
            <w:pPr>
              <w:spacing w:after="200" w:line="276" w:lineRule="auto"/>
            </w:pPr>
            <w:r w:rsidRPr="00EE6AA9">
              <w:t>Stuart Saulters</w:t>
            </w:r>
          </w:p>
        </w:tc>
        <w:tc>
          <w:tcPr>
            <w:tcW w:w="4320" w:type="dxa"/>
            <w:shd w:val="clear" w:color="auto" w:fill="auto"/>
            <w:noWrap/>
            <w:vAlign w:val="center"/>
            <w:hideMark/>
          </w:tcPr>
          <w:p w14:paraId="4D4D3F16" w14:textId="50819BC8" w:rsidR="0030443A" w:rsidRPr="00EE6AA9" w:rsidRDefault="0030443A" w:rsidP="00EE6AA9">
            <w:pPr>
              <w:spacing w:after="200" w:line="276" w:lineRule="auto"/>
            </w:pPr>
            <w:r>
              <w:t>API</w:t>
            </w:r>
          </w:p>
        </w:tc>
      </w:tr>
      <w:tr w:rsidR="0030443A" w:rsidRPr="00EE6AA9" w14:paraId="5EEDBBB8" w14:textId="77777777" w:rsidTr="0030443A">
        <w:trPr>
          <w:trHeight w:val="255"/>
        </w:trPr>
        <w:tc>
          <w:tcPr>
            <w:tcW w:w="2425" w:type="dxa"/>
            <w:shd w:val="clear" w:color="auto" w:fill="auto"/>
            <w:noWrap/>
            <w:vAlign w:val="bottom"/>
            <w:hideMark/>
          </w:tcPr>
          <w:p w14:paraId="659CDB13" w14:textId="77777777" w:rsidR="0030443A" w:rsidRPr="00EE6AA9" w:rsidRDefault="0030443A" w:rsidP="00EE6AA9">
            <w:pPr>
              <w:spacing w:after="200" w:line="276" w:lineRule="auto"/>
            </w:pPr>
            <w:r w:rsidRPr="00EE6AA9">
              <w:t>Mark Piazza</w:t>
            </w:r>
          </w:p>
        </w:tc>
        <w:tc>
          <w:tcPr>
            <w:tcW w:w="4320" w:type="dxa"/>
            <w:shd w:val="clear" w:color="auto" w:fill="auto"/>
            <w:noWrap/>
            <w:vAlign w:val="center"/>
            <w:hideMark/>
          </w:tcPr>
          <w:p w14:paraId="4D8D67F4" w14:textId="32E11209" w:rsidR="0030443A" w:rsidRPr="00EE6AA9" w:rsidRDefault="00C07927" w:rsidP="00EE6AA9">
            <w:pPr>
              <w:spacing w:after="200" w:line="276" w:lineRule="auto"/>
            </w:pPr>
            <w:r>
              <w:t>Colonial Pipeline</w:t>
            </w:r>
          </w:p>
        </w:tc>
      </w:tr>
      <w:tr w:rsidR="00FF1A3D" w:rsidRPr="00EE6AA9" w14:paraId="0E450948" w14:textId="77777777" w:rsidTr="00802FCD">
        <w:trPr>
          <w:trHeight w:val="255"/>
        </w:trPr>
        <w:tc>
          <w:tcPr>
            <w:tcW w:w="2425" w:type="dxa"/>
            <w:shd w:val="clear" w:color="auto" w:fill="auto"/>
            <w:noWrap/>
          </w:tcPr>
          <w:p w14:paraId="7FC23A20" w14:textId="2F1F0519" w:rsidR="00FF1A3D" w:rsidRPr="00EE6AA9" w:rsidRDefault="00FF1A3D" w:rsidP="00FF1A3D">
            <w:pPr>
              <w:spacing w:after="200" w:line="276" w:lineRule="auto"/>
            </w:pPr>
            <w:r>
              <w:t>Jacob Steere*</w:t>
            </w:r>
          </w:p>
        </w:tc>
        <w:tc>
          <w:tcPr>
            <w:tcW w:w="4320" w:type="dxa"/>
            <w:shd w:val="clear" w:color="auto" w:fill="auto"/>
            <w:noWrap/>
          </w:tcPr>
          <w:p w14:paraId="593CD85B" w14:textId="6113FCB8" w:rsidR="00FF1A3D" w:rsidRPr="00EE6AA9" w:rsidRDefault="00FF1A3D" w:rsidP="00FF1A3D">
            <w:pPr>
              <w:spacing w:after="200" w:line="276" w:lineRule="auto"/>
            </w:pPr>
            <w:r>
              <w:t>Consumers</w:t>
            </w:r>
          </w:p>
        </w:tc>
      </w:tr>
      <w:tr w:rsidR="00FF1A3D" w:rsidRPr="00EE6AA9" w14:paraId="7A4CB183" w14:textId="77777777" w:rsidTr="00CB174C">
        <w:trPr>
          <w:trHeight w:val="255"/>
        </w:trPr>
        <w:tc>
          <w:tcPr>
            <w:tcW w:w="2425" w:type="dxa"/>
            <w:shd w:val="clear" w:color="auto" w:fill="auto"/>
            <w:noWrap/>
          </w:tcPr>
          <w:p w14:paraId="2CD50F6D" w14:textId="6D92D5B3" w:rsidR="00FF1A3D" w:rsidRPr="00EE6AA9" w:rsidRDefault="00FF1A3D" w:rsidP="00FF1A3D">
            <w:pPr>
              <w:spacing w:after="200" w:line="276" w:lineRule="auto"/>
            </w:pPr>
            <w:r>
              <w:t xml:space="preserve">Mark </w:t>
            </w:r>
            <w:r w:rsidRPr="00671946">
              <w:t>Clayton, Mark</w:t>
            </w:r>
          </w:p>
        </w:tc>
        <w:tc>
          <w:tcPr>
            <w:tcW w:w="4320" w:type="dxa"/>
            <w:shd w:val="clear" w:color="auto" w:fill="auto"/>
            <w:noWrap/>
          </w:tcPr>
          <w:p w14:paraId="04BDA417" w14:textId="3EF42BC4" w:rsidR="00FF1A3D" w:rsidRPr="00EE6AA9" w:rsidRDefault="00FF1A3D" w:rsidP="00FF1A3D">
            <w:pPr>
              <w:spacing w:after="200" w:line="276" w:lineRule="auto"/>
            </w:pPr>
            <w:r w:rsidRPr="00671946">
              <w:t xml:space="preserve">CenterPoint Energy </w:t>
            </w:r>
          </w:p>
        </w:tc>
      </w:tr>
      <w:tr w:rsidR="00FF1A3D" w:rsidRPr="00EE6AA9" w14:paraId="56BAE88C" w14:textId="77777777" w:rsidTr="0030443A">
        <w:trPr>
          <w:trHeight w:val="255"/>
        </w:trPr>
        <w:tc>
          <w:tcPr>
            <w:tcW w:w="2425" w:type="dxa"/>
            <w:shd w:val="clear" w:color="auto" w:fill="auto"/>
            <w:noWrap/>
            <w:vAlign w:val="bottom"/>
            <w:hideMark/>
          </w:tcPr>
          <w:p w14:paraId="61477B27" w14:textId="77777777" w:rsidR="00FF1A3D" w:rsidRPr="00EE6AA9" w:rsidRDefault="00FF1A3D" w:rsidP="00FF1A3D">
            <w:pPr>
              <w:spacing w:after="200" w:line="276" w:lineRule="auto"/>
            </w:pPr>
            <w:r w:rsidRPr="00EE6AA9">
              <w:t>Steve Nanney</w:t>
            </w:r>
          </w:p>
        </w:tc>
        <w:tc>
          <w:tcPr>
            <w:tcW w:w="4320" w:type="dxa"/>
            <w:shd w:val="clear" w:color="auto" w:fill="auto"/>
            <w:noWrap/>
            <w:vAlign w:val="center"/>
            <w:hideMark/>
          </w:tcPr>
          <w:p w14:paraId="0E4C63EF" w14:textId="7689F9B5" w:rsidR="00FF1A3D" w:rsidRPr="00EE6AA9" w:rsidRDefault="00FF1A3D" w:rsidP="00FF1A3D">
            <w:pPr>
              <w:spacing w:after="200" w:line="276" w:lineRule="auto"/>
            </w:pPr>
            <w:r>
              <w:t>PHMSA</w:t>
            </w:r>
          </w:p>
        </w:tc>
      </w:tr>
      <w:tr w:rsidR="00FF1A3D" w:rsidRPr="00EE6AA9" w14:paraId="0BC678CD" w14:textId="77777777" w:rsidTr="0030443A">
        <w:trPr>
          <w:trHeight w:val="255"/>
        </w:trPr>
        <w:tc>
          <w:tcPr>
            <w:tcW w:w="2425" w:type="dxa"/>
            <w:shd w:val="clear" w:color="auto" w:fill="auto"/>
            <w:noWrap/>
            <w:vAlign w:val="bottom"/>
            <w:hideMark/>
          </w:tcPr>
          <w:p w14:paraId="5B781EB8" w14:textId="77777777" w:rsidR="00FF1A3D" w:rsidRPr="00EE6AA9" w:rsidRDefault="00FF1A3D" w:rsidP="00FF1A3D">
            <w:pPr>
              <w:spacing w:after="200" w:line="276" w:lineRule="auto"/>
            </w:pPr>
            <w:r w:rsidRPr="00EE6AA9">
              <w:t>Erin Kurilla</w:t>
            </w:r>
          </w:p>
        </w:tc>
        <w:tc>
          <w:tcPr>
            <w:tcW w:w="4320" w:type="dxa"/>
            <w:shd w:val="clear" w:color="auto" w:fill="auto"/>
            <w:noWrap/>
            <w:vAlign w:val="center"/>
            <w:hideMark/>
          </w:tcPr>
          <w:p w14:paraId="2A3F6D36" w14:textId="0FE3DCE1" w:rsidR="00FF1A3D" w:rsidRPr="00EE6AA9" w:rsidRDefault="00FF1A3D" w:rsidP="00FF1A3D">
            <w:pPr>
              <w:spacing w:after="200" w:line="276" w:lineRule="auto"/>
            </w:pPr>
            <w:r>
              <w:t>AGA</w:t>
            </w:r>
          </w:p>
        </w:tc>
      </w:tr>
      <w:tr w:rsidR="00FF1A3D" w:rsidRPr="00EE6AA9" w14:paraId="0DEE30EB" w14:textId="77777777" w:rsidTr="0030443A">
        <w:trPr>
          <w:trHeight w:val="255"/>
        </w:trPr>
        <w:tc>
          <w:tcPr>
            <w:tcW w:w="2425" w:type="dxa"/>
            <w:shd w:val="clear" w:color="auto" w:fill="auto"/>
            <w:noWrap/>
            <w:vAlign w:val="bottom"/>
            <w:hideMark/>
          </w:tcPr>
          <w:p w14:paraId="58150931" w14:textId="77777777" w:rsidR="00FF1A3D" w:rsidRPr="00EE6AA9" w:rsidRDefault="00FF1A3D" w:rsidP="00FF1A3D">
            <w:pPr>
              <w:spacing w:after="200" w:line="276" w:lineRule="auto"/>
            </w:pPr>
            <w:r w:rsidRPr="00EE6AA9">
              <w:t>Mohamed Elaoudiy</w:t>
            </w:r>
          </w:p>
        </w:tc>
        <w:tc>
          <w:tcPr>
            <w:tcW w:w="4320" w:type="dxa"/>
            <w:shd w:val="clear" w:color="auto" w:fill="auto"/>
            <w:noWrap/>
            <w:vAlign w:val="center"/>
            <w:hideMark/>
          </w:tcPr>
          <w:p w14:paraId="3A0E89E6" w14:textId="47BDD980" w:rsidR="00FF1A3D" w:rsidRPr="00EE6AA9" w:rsidRDefault="00FF1A3D" w:rsidP="00FF1A3D">
            <w:pPr>
              <w:spacing w:after="200" w:line="276" w:lineRule="auto"/>
            </w:pPr>
            <w:r>
              <w:t>Phillips 66</w:t>
            </w:r>
          </w:p>
        </w:tc>
      </w:tr>
      <w:tr w:rsidR="00FF1A3D" w:rsidRPr="00EE6AA9" w14:paraId="7AB79185" w14:textId="77777777" w:rsidTr="0030443A">
        <w:trPr>
          <w:trHeight w:val="255"/>
        </w:trPr>
        <w:tc>
          <w:tcPr>
            <w:tcW w:w="2425" w:type="dxa"/>
            <w:shd w:val="clear" w:color="auto" w:fill="auto"/>
            <w:noWrap/>
            <w:vAlign w:val="bottom"/>
            <w:hideMark/>
          </w:tcPr>
          <w:p w14:paraId="3556C8CE" w14:textId="766F6A6A" w:rsidR="00FF1A3D" w:rsidRPr="00EE6AA9" w:rsidRDefault="00FF1A3D" w:rsidP="00FF1A3D">
            <w:pPr>
              <w:spacing w:after="200" w:line="276" w:lineRule="auto"/>
            </w:pPr>
            <w:r w:rsidRPr="00EE6AA9">
              <w:t>Charlie Childs</w:t>
            </w:r>
            <w:r>
              <w:t>*</w:t>
            </w:r>
          </w:p>
        </w:tc>
        <w:tc>
          <w:tcPr>
            <w:tcW w:w="4320" w:type="dxa"/>
            <w:shd w:val="clear" w:color="auto" w:fill="auto"/>
            <w:noWrap/>
            <w:vAlign w:val="center"/>
            <w:hideMark/>
          </w:tcPr>
          <w:p w14:paraId="5D626492" w14:textId="3974B834" w:rsidR="00FF1A3D" w:rsidRPr="00EE6AA9" w:rsidRDefault="00FF1A3D" w:rsidP="00FF1A3D">
            <w:pPr>
              <w:spacing w:after="200" w:line="276" w:lineRule="auto"/>
            </w:pPr>
            <w:r>
              <w:t>Kinder Morgan</w:t>
            </w:r>
          </w:p>
        </w:tc>
      </w:tr>
      <w:tr w:rsidR="00FF1A3D" w:rsidRPr="00EE6AA9" w14:paraId="0679B311" w14:textId="77777777" w:rsidTr="0030443A">
        <w:trPr>
          <w:trHeight w:val="255"/>
        </w:trPr>
        <w:tc>
          <w:tcPr>
            <w:tcW w:w="2425" w:type="dxa"/>
            <w:shd w:val="clear" w:color="auto" w:fill="auto"/>
            <w:noWrap/>
            <w:vAlign w:val="bottom"/>
          </w:tcPr>
          <w:p w14:paraId="6AE955E1" w14:textId="264A548E" w:rsidR="00FF1A3D" w:rsidRPr="00EE6AA9" w:rsidRDefault="00FF1A3D" w:rsidP="00FF1A3D">
            <w:pPr>
              <w:spacing w:after="200" w:line="276" w:lineRule="auto"/>
            </w:pPr>
            <w:r>
              <w:t>Brandon Cavendish</w:t>
            </w:r>
          </w:p>
        </w:tc>
        <w:tc>
          <w:tcPr>
            <w:tcW w:w="4320" w:type="dxa"/>
            <w:shd w:val="clear" w:color="auto" w:fill="auto"/>
            <w:noWrap/>
            <w:vAlign w:val="center"/>
          </w:tcPr>
          <w:p w14:paraId="14907F8B" w14:textId="353342ED" w:rsidR="00FF1A3D" w:rsidRDefault="00FF1A3D" w:rsidP="00FF1A3D">
            <w:pPr>
              <w:spacing w:after="200" w:line="276" w:lineRule="auto"/>
            </w:pPr>
            <w:r>
              <w:t>Colonial Pipeline</w:t>
            </w:r>
          </w:p>
        </w:tc>
      </w:tr>
      <w:tr w:rsidR="00FF1A3D" w:rsidRPr="00EE6AA9" w14:paraId="34D14D2F" w14:textId="77777777" w:rsidTr="0030443A">
        <w:trPr>
          <w:trHeight w:val="255"/>
        </w:trPr>
        <w:tc>
          <w:tcPr>
            <w:tcW w:w="2425" w:type="dxa"/>
            <w:shd w:val="clear" w:color="auto" w:fill="auto"/>
            <w:noWrap/>
            <w:vAlign w:val="bottom"/>
            <w:hideMark/>
          </w:tcPr>
          <w:p w14:paraId="314FF171" w14:textId="1B9EEB49" w:rsidR="00FF1A3D" w:rsidRPr="00EE6AA9" w:rsidRDefault="00FF1A3D" w:rsidP="00FF1A3D">
            <w:pPr>
              <w:spacing w:after="200" w:line="276" w:lineRule="auto"/>
            </w:pPr>
            <w:r w:rsidRPr="00EE6AA9">
              <w:t>Vincent Holohan</w:t>
            </w:r>
            <w:r>
              <w:t>*</w:t>
            </w:r>
          </w:p>
        </w:tc>
        <w:tc>
          <w:tcPr>
            <w:tcW w:w="4320" w:type="dxa"/>
            <w:shd w:val="clear" w:color="auto" w:fill="auto"/>
            <w:noWrap/>
            <w:vAlign w:val="center"/>
            <w:hideMark/>
          </w:tcPr>
          <w:p w14:paraId="62EE5763" w14:textId="4D3F975F" w:rsidR="00FF1A3D" w:rsidRPr="00EE6AA9" w:rsidRDefault="00FF1A3D" w:rsidP="00FF1A3D">
            <w:pPr>
              <w:spacing w:after="200" w:line="276" w:lineRule="auto"/>
            </w:pPr>
            <w:r>
              <w:t>PHMSA</w:t>
            </w:r>
          </w:p>
        </w:tc>
      </w:tr>
      <w:tr w:rsidR="00FF1A3D" w:rsidRPr="00EE6AA9" w14:paraId="66535FC0" w14:textId="77777777" w:rsidTr="0030443A">
        <w:trPr>
          <w:trHeight w:val="255"/>
        </w:trPr>
        <w:tc>
          <w:tcPr>
            <w:tcW w:w="2425" w:type="dxa"/>
            <w:shd w:val="clear" w:color="auto" w:fill="auto"/>
            <w:noWrap/>
            <w:vAlign w:val="bottom"/>
            <w:hideMark/>
          </w:tcPr>
          <w:p w14:paraId="5C8ADD16" w14:textId="3AB505D8" w:rsidR="00FF1A3D" w:rsidRPr="00EE6AA9" w:rsidRDefault="00FF1A3D" w:rsidP="00FF1A3D">
            <w:pPr>
              <w:spacing w:after="200" w:line="276" w:lineRule="auto"/>
            </w:pPr>
            <w:r w:rsidRPr="00EE6AA9">
              <w:t>Mason Matthews</w:t>
            </w:r>
            <w:r>
              <w:t>*</w:t>
            </w:r>
          </w:p>
        </w:tc>
        <w:tc>
          <w:tcPr>
            <w:tcW w:w="4320" w:type="dxa"/>
            <w:shd w:val="clear" w:color="auto" w:fill="auto"/>
            <w:noWrap/>
            <w:vAlign w:val="center"/>
            <w:hideMark/>
          </w:tcPr>
          <w:p w14:paraId="56508D1A" w14:textId="5C3F7BDB" w:rsidR="00FF1A3D" w:rsidRPr="00EE6AA9" w:rsidRDefault="007965CE" w:rsidP="00FF1A3D">
            <w:pPr>
              <w:spacing w:after="200" w:line="276" w:lineRule="auto"/>
            </w:pPr>
            <w:r w:rsidRPr="005A5671">
              <w:rPr>
                <w:rFonts w:eastAsia="Times New Roman" w:cs="Arial"/>
              </w:rPr>
              <w:t>Athens Gas Utilities (APGA)</w:t>
            </w:r>
          </w:p>
        </w:tc>
      </w:tr>
      <w:tr w:rsidR="00FF1A3D" w:rsidRPr="00EE6AA9" w14:paraId="0CB94E0C" w14:textId="77777777" w:rsidTr="0030443A">
        <w:trPr>
          <w:trHeight w:val="255"/>
        </w:trPr>
        <w:tc>
          <w:tcPr>
            <w:tcW w:w="2425" w:type="dxa"/>
            <w:shd w:val="clear" w:color="auto" w:fill="auto"/>
            <w:noWrap/>
            <w:vAlign w:val="bottom"/>
            <w:hideMark/>
          </w:tcPr>
          <w:p w14:paraId="539A2EAE" w14:textId="77777777" w:rsidR="00FF1A3D" w:rsidRPr="00EE6AA9" w:rsidRDefault="00FF1A3D" w:rsidP="00FF1A3D">
            <w:pPr>
              <w:spacing w:after="200" w:line="276" w:lineRule="auto"/>
            </w:pPr>
            <w:r w:rsidRPr="00EE6AA9">
              <w:t>Dane Spillers</w:t>
            </w:r>
          </w:p>
        </w:tc>
        <w:tc>
          <w:tcPr>
            <w:tcW w:w="4320" w:type="dxa"/>
            <w:shd w:val="clear" w:color="auto" w:fill="auto"/>
            <w:noWrap/>
            <w:vAlign w:val="center"/>
            <w:hideMark/>
          </w:tcPr>
          <w:p w14:paraId="5CFDB302" w14:textId="2EA4D725" w:rsidR="00FF1A3D" w:rsidRPr="00EE6AA9" w:rsidRDefault="00FF1A3D" w:rsidP="00FF1A3D">
            <w:pPr>
              <w:spacing w:after="200" w:line="276" w:lineRule="auto"/>
            </w:pPr>
            <w:r>
              <w:t>PHMSA</w:t>
            </w:r>
          </w:p>
        </w:tc>
      </w:tr>
      <w:tr w:rsidR="00FF1A3D" w:rsidRPr="00EE6AA9" w14:paraId="72F17A89" w14:textId="77777777" w:rsidTr="0030443A">
        <w:trPr>
          <w:trHeight w:val="255"/>
        </w:trPr>
        <w:tc>
          <w:tcPr>
            <w:tcW w:w="2425" w:type="dxa"/>
            <w:shd w:val="clear" w:color="auto" w:fill="auto"/>
            <w:noWrap/>
            <w:vAlign w:val="bottom"/>
            <w:hideMark/>
          </w:tcPr>
          <w:p w14:paraId="3BF3D8E8" w14:textId="77777777" w:rsidR="00FF1A3D" w:rsidRPr="00EE6AA9" w:rsidRDefault="00FF1A3D" w:rsidP="00FF1A3D">
            <w:pPr>
              <w:spacing w:after="200" w:line="276" w:lineRule="auto"/>
            </w:pPr>
            <w:r w:rsidRPr="00EE6AA9">
              <w:t>David Kuhtenia</w:t>
            </w:r>
          </w:p>
        </w:tc>
        <w:tc>
          <w:tcPr>
            <w:tcW w:w="4320" w:type="dxa"/>
            <w:shd w:val="clear" w:color="auto" w:fill="auto"/>
            <w:noWrap/>
            <w:vAlign w:val="center"/>
            <w:hideMark/>
          </w:tcPr>
          <w:p w14:paraId="14D51F1D" w14:textId="2BAC3256" w:rsidR="00FF1A3D" w:rsidRPr="00EE6AA9" w:rsidRDefault="00FF1A3D" w:rsidP="00FF1A3D">
            <w:pPr>
              <w:spacing w:after="200" w:line="276" w:lineRule="auto"/>
            </w:pPr>
            <w:r>
              <w:t>Cycla</w:t>
            </w:r>
          </w:p>
        </w:tc>
      </w:tr>
      <w:tr w:rsidR="00FF1A3D" w:rsidRPr="00EE6AA9" w14:paraId="335C9D9B" w14:textId="77777777" w:rsidTr="0030443A">
        <w:trPr>
          <w:trHeight w:val="255"/>
        </w:trPr>
        <w:tc>
          <w:tcPr>
            <w:tcW w:w="2425" w:type="dxa"/>
            <w:shd w:val="clear" w:color="auto" w:fill="auto"/>
            <w:noWrap/>
            <w:vAlign w:val="bottom"/>
            <w:hideMark/>
          </w:tcPr>
          <w:p w14:paraId="34F6CB49" w14:textId="541367F9" w:rsidR="00FF1A3D" w:rsidRPr="00EE6AA9" w:rsidRDefault="00FF1A3D" w:rsidP="00FF1A3D">
            <w:pPr>
              <w:spacing w:after="200" w:line="276" w:lineRule="auto"/>
            </w:pPr>
            <w:r w:rsidRPr="00EE6AA9">
              <w:t>Pat Westrick</w:t>
            </w:r>
            <w:r>
              <w:t>*</w:t>
            </w:r>
          </w:p>
        </w:tc>
        <w:tc>
          <w:tcPr>
            <w:tcW w:w="4320" w:type="dxa"/>
            <w:shd w:val="clear" w:color="auto" w:fill="auto"/>
            <w:noWrap/>
            <w:vAlign w:val="center"/>
            <w:hideMark/>
          </w:tcPr>
          <w:p w14:paraId="7AE1908C" w14:textId="5859FADC" w:rsidR="00FF1A3D" w:rsidRPr="00EE6AA9" w:rsidRDefault="00FF1A3D" w:rsidP="00FF1A3D">
            <w:pPr>
              <w:spacing w:after="200" w:line="276" w:lineRule="auto"/>
            </w:pPr>
            <w:r>
              <w:t>Marathon Pipeline</w:t>
            </w:r>
          </w:p>
        </w:tc>
      </w:tr>
      <w:tr w:rsidR="00FF1A3D" w:rsidRPr="00EE6AA9" w14:paraId="1305B071" w14:textId="77777777" w:rsidTr="0030443A">
        <w:trPr>
          <w:trHeight w:val="255"/>
        </w:trPr>
        <w:tc>
          <w:tcPr>
            <w:tcW w:w="2425" w:type="dxa"/>
            <w:shd w:val="clear" w:color="auto" w:fill="auto"/>
            <w:noWrap/>
            <w:vAlign w:val="bottom"/>
            <w:hideMark/>
          </w:tcPr>
          <w:p w14:paraId="578A9054" w14:textId="44DF2BFD" w:rsidR="00FF1A3D" w:rsidRPr="00EE6AA9" w:rsidRDefault="00FF1A3D" w:rsidP="00FF1A3D">
            <w:pPr>
              <w:spacing w:after="200" w:line="276" w:lineRule="auto"/>
            </w:pPr>
            <w:r w:rsidRPr="00EE6AA9">
              <w:t>Steve Allen</w:t>
            </w:r>
            <w:r w:rsidR="0007531A">
              <w:t>*</w:t>
            </w:r>
          </w:p>
        </w:tc>
        <w:tc>
          <w:tcPr>
            <w:tcW w:w="4320" w:type="dxa"/>
            <w:shd w:val="clear" w:color="auto" w:fill="auto"/>
            <w:noWrap/>
            <w:vAlign w:val="center"/>
            <w:hideMark/>
          </w:tcPr>
          <w:p w14:paraId="79CFD050" w14:textId="25043E76" w:rsidR="00FF1A3D" w:rsidRPr="00EE6AA9" w:rsidRDefault="00FF1A3D" w:rsidP="00FF1A3D">
            <w:pPr>
              <w:spacing w:after="200" w:line="276" w:lineRule="auto"/>
            </w:pPr>
            <w:r w:rsidRPr="00B01DC6">
              <w:t>URC of Indiana (NAPSR)</w:t>
            </w:r>
          </w:p>
        </w:tc>
      </w:tr>
      <w:tr w:rsidR="00FF1A3D" w:rsidRPr="00EE6AA9" w14:paraId="790278BE" w14:textId="77777777" w:rsidTr="0030443A">
        <w:trPr>
          <w:trHeight w:val="255"/>
        </w:trPr>
        <w:tc>
          <w:tcPr>
            <w:tcW w:w="2425" w:type="dxa"/>
            <w:shd w:val="clear" w:color="auto" w:fill="auto"/>
            <w:noWrap/>
            <w:vAlign w:val="bottom"/>
            <w:hideMark/>
          </w:tcPr>
          <w:p w14:paraId="5C4E917A" w14:textId="77777777" w:rsidR="00FF1A3D" w:rsidRPr="00EE6AA9" w:rsidRDefault="00FF1A3D" w:rsidP="00FF1A3D">
            <w:pPr>
              <w:spacing w:after="200" w:line="276" w:lineRule="auto"/>
            </w:pPr>
            <w:r w:rsidRPr="00EE6AA9">
              <w:lastRenderedPageBreak/>
              <w:t>Robert Youngblood</w:t>
            </w:r>
          </w:p>
        </w:tc>
        <w:tc>
          <w:tcPr>
            <w:tcW w:w="4320" w:type="dxa"/>
            <w:shd w:val="clear" w:color="auto" w:fill="auto"/>
            <w:noWrap/>
            <w:vAlign w:val="center"/>
            <w:hideMark/>
          </w:tcPr>
          <w:p w14:paraId="4D2FD886" w14:textId="0F1A0F06" w:rsidR="00FF1A3D" w:rsidRPr="00EE6AA9" w:rsidRDefault="00FF1A3D" w:rsidP="00FF1A3D">
            <w:pPr>
              <w:spacing w:after="200" w:line="276" w:lineRule="auto"/>
            </w:pPr>
            <w:r>
              <w:t>INL</w:t>
            </w:r>
          </w:p>
        </w:tc>
      </w:tr>
      <w:tr w:rsidR="00FF1A3D" w:rsidRPr="00EE6AA9" w14:paraId="29BA4B46" w14:textId="77777777" w:rsidTr="0030443A">
        <w:trPr>
          <w:trHeight w:val="255"/>
        </w:trPr>
        <w:tc>
          <w:tcPr>
            <w:tcW w:w="2425" w:type="dxa"/>
            <w:shd w:val="clear" w:color="auto" w:fill="auto"/>
            <w:noWrap/>
            <w:vAlign w:val="bottom"/>
            <w:hideMark/>
          </w:tcPr>
          <w:p w14:paraId="6EDF175E" w14:textId="563CE22B" w:rsidR="00FF1A3D" w:rsidRPr="00EE6AA9" w:rsidRDefault="00FF1A3D" w:rsidP="00FF1A3D">
            <w:pPr>
              <w:spacing w:after="200" w:line="276" w:lineRule="auto"/>
            </w:pPr>
            <w:r>
              <w:t>Patrick Vieth</w:t>
            </w:r>
          </w:p>
        </w:tc>
        <w:tc>
          <w:tcPr>
            <w:tcW w:w="4320" w:type="dxa"/>
            <w:shd w:val="clear" w:color="auto" w:fill="auto"/>
            <w:noWrap/>
            <w:vAlign w:val="center"/>
            <w:hideMark/>
          </w:tcPr>
          <w:p w14:paraId="7F906535" w14:textId="486749A7" w:rsidR="00FF1A3D" w:rsidRPr="00EE6AA9" w:rsidRDefault="00FF1A3D" w:rsidP="00FF1A3D">
            <w:pPr>
              <w:spacing w:after="200" w:line="276" w:lineRule="auto"/>
            </w:pPr>
            <w:r>
              <w:t>Dynamic Risk</w:t>
            </w:r>
          </w:p>
        </w:tc>
      </w:tr>
      <w:tr w:rsidR="00FF1A3D" w:rsidRPr="00EE6AA9" w14:paraId="0DB7D3A4" w14:textId="77777777" w:rsidTr="0030443A">
        <w:trPr>
          <w:trHeight w:val="255"/>
        </w:trPr>
        <w:tc>
          <w:tcPr>
            <w:tcW w:w="2425" w:type="dxa"/>
            <w:shd w:val="clear" w:color="auto" w:fill="auto"/>
            <w:noWrap/>
            <w:vAlign w:val="bottom"/>
            <w:hideMark/>
          </w:tcPr>
          <w:p w14:paraId="6AE67F7D" w14:textId="4E85F6C5" w:rsidR="00FF1A3D" w:rsidRPr="00EE6AA9" w:rsidRDefault="00FF1A3D" w:rsidP="00FF1A3D">
            <w:pPr>
              <w:spacing w:after="200" w:line="276" w:lineRule="auto"/>
            </w:pPr>
            <w:r>
              <w:t>Kent Muhlbauer</w:t>
            </w:r>
          </w:p>
        </w:tc>
        <w:tc>
          <w:tcPr>
            <w:tcW w:w="4320" w:type="dxa"/>
            <w:shd w:val="clear" w:color="auto" w:fill="auto"/>
            <w:noWrap/>
            <w:vAlign w:val="center"/>
            <w:hideMark/>
          </w:tcPr>
          <w:p w14:paraId="27B5CE0E" w14:textId="10ECF21F" w:rsidR="00FF1A3D" w:rsidRPr="00EE6AA9" w:rsidRDefault="00FF1A3D" w:rsidP="00FF1A3D">
            <w:pPr>
              <w:spacing w:after="200" w:line="276" w:lineRule="auto"/>
            </w:pPr>
            <w:r>
              <w:t>WKM Consultancy</w:t>
            </w:r>
          </w:p>
        </w:tc>
      </w:tr>
      <w:tr w:rsidR="00FF1A3D" w:rsidRPr="00EE6AA9" w14:paraId="50C235B0" w14:textId="77777777" w:rsidTr="0030443A">
        <w:trPr>
          <w:trHeight w:val="255"/>
        </w:trPr>
        <w:tc>
          <w:tcPr>
            <w:tcW w:w="2425" w:type="dxa"/>
            <w:shd w:val="clear" w:color="auto" w:fill="auto"/>
            <w:noWrap/>
            <w:vAlign w:val="bottom"/>
            <w:hideMark/>
          </w:tcPr>
          <w:p w14:paraId="603EEBBB" w14:textId="769A8A09" w:rsidR="00FF1A3D" w:rsidRPr="00EE6AA9" w:rsidRDefault="00FF1A3D" w:rsidP="00FF1A3D">
            <w:pPr>
              <w:spacing w:after="200" w:line="276" w:lineRule="auto"/>
            </w:pPr>
            <w:r>
              <w:t>Cindy Ansligner</w:t>
            </w:r>
          </w:p>
        </w:tc>
        <w:tc>
          <w:tcPr>
            <w:tcW w:w="4320" w:type="dxa"/>
            <w:shd w:val="clear" w:color="auto" w:fill="auto"/>
            <w:noWrap/>
            <w:vAlign w:val="center"/>
            <w:hideMark/>
          </w:tcPr>
          <w:p w14:paraId="68E644C4" w14:textId="4C3BDE98" w:rsidR="00FF1A3D" w:rsidRPr="00EE6AA9" w:rsidRDefault="00FF1A3D" w:rsidP="00FF1A3D">
            <w:pPr>
              <w:spacing w:after="200" w:line="276" w:lineRule="auto"/>
            </w:pPr>
            <w:r>
              <w:t>Vectren</w:t>
            </w:r>
          </w:p>
        </w:tc>
      </w:tr>
      <w:tr w:rsidR="00FF1A3D" w:rsidRPr="00EE6AA9" w14:paraId="15AD1EC7" w14:textId="77777777" w:rsidTr="0030443A">
        <w:trPr>
          <w:trHeight w:val="255"/>
        </w:trPr>
        <w:tc>
          <w:tcPr>
            <w:tcW w:w="2425" w:type="dxa"/>
            <w:shd w:val="clear" w:color="auto" w:fill="auto"/>
            <w:noWrap/>
            <w:vAlign w:val="bottom"/>
            <w:hideMark/>
          </w:tcPr>
          <w:p w14:paraId="459285DE" w14:textId="2E35E083" w:rsidR="00FF1A3D" w:rsidRPr="00EE6AA9" w:rsidRDefault="00FF1A3D" w:rsidP="00FF1A3D">
            <w:pPr>
              <w:spacing w:after="200" w:line="276" w:lineRule="auto"/>
            </w:pPr>
            <w:r w:rsidRPr="00EE6AA9">
              <w:t>Jarrett</w:t>
            </w:r>
            <w:r>
              <w:t xml:space="preserve"> Compton</w:t>
            </w:r>
          </w:p>
        </w:tc>
        <w:tc>
          <w:tcPr>
            <w:tcW w:w="4320" w:type="dxa"/>
            <w:shd w:val="clear" w:color="auto" w:fill="auto"/>
            <w:noWrap/>
            <w:vAlign w:val="center"/>
            <w:hideMark/>
          </w:tcPr>
          <w:p w14:paraId="212662D4" w14:textId="5E7C6F1A" w:rsidR="00FF1A3D" w:rsidRPr="00EE6AA9" w:rsidRDefault="00FF1A3D" w:rsidP="00FF1A3D">
            <w:pPr>
              <w:spacing w:after="200" w:line="276" w:lineRule="auto"/>
            </w:pPr>
            <w:r>
              <w:t>Vectren</w:t>
            </w:r>
          </w:p>
        </w:tc>
      </w:tr>
      <w:tr w:rsidR="00FF1A3D" w:rsidRPr="00EE6AA9" w14:paraId="0569B498" w14:textId="77777777" w:rsidTr="0030443A">
        <w:trPr>
          <w:trHeight w:val="255"/>
        </w:trPr>
        <w:tc>
          <w:tcPr>
            <w:tcW w:w="2425" w:type="dxa"/>
            <w:shd w:val="clear" w:color="auto" w:fill="auto"/>
            <w:noWrap/>
            <w:vAlign w:val="bottom"/>
            <w:hideMark/>
          </w:tcPr>
          <w:p w14:paraId="2D827164" w14:textId="61BAD197" w:rsidR="00FF1A3D" w:rsidRPr="00EE6AA9" w:rsidRDefault="00FF1A3D" w:rsidP="00FF1A3D">
            <w:pPr>
              <w:spacing w:after="200" w:line="276" w:lineRule="auto"/>
            </w:pPr>
            <w:r>
              <w:t>Trevor MacFarlane</w:t>
            </w:r>
          </w:p>
        </w:tc>
        <w:tc>
          <w:tcPr>
            <w:tcW w:w="4320" w:type="dxa"/>
            <w:shd w:val="clear" w:color="auto" w:fill="auto"/>
            <w:noWrap/>
            <w:vAlign w:val="center"/>
            <w:hideMark/>
          </w:tcPr>
          <w:p w14:paraId="0044CC8B" w14:textId="2DE85A09" w:rsidR="00FF1A3D" w:rsidRPr="00EE6AA9" w:rsidRDefault="00FF1A3D" w:rsidP="00FF1A3D">
            <w:pPr>
              <w:spacing w:after="200" w:line="276" w:lineRule="auto"/>
            </w:pPr>
            <w:r>
              <w:t>Dynamic Risk</w:t>
            </w:r>
          </w:p>
        </w:tc>
      </w:tr>
    </w:tbl>
    <w:p w14:paraId="4F4EF828" w14:textId="0D2718D0" w:rsidR="00C11CD8" w:rsidRPr="00344669" w:rsidRDefault="00C11CD8"/>
    <w:sectPr w:rsidR="00C11CD8" w:rsidRPr="00344669" w:rsidSect="008A69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3B70" w14:textId="77777777" w:rsidR="00C0606E" w:rsidRDefault="00C0606E" w:rsidP="003D1E2C">
      <w:pPr>
        <w:spacing w:after="0" w:line="240" w:lineRule="auto"/>
      </w:pPr>
      <w:r>
        <w:separator/>
      </w:r>
    </w:p>
  </w:endnote>
  <w:endnote w:type="continuationSeparator" w:id="0">
    <w:p w14:paraId="75B24841" w14:textId="77777777" w:rsidR="00C0606E" w:rsidRDefault="00C0606E" w:rsidP="003D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92FEC" w14:textId="77777777" w:rsidR="00C0606E" w:rsidRDefault="00C0606E" w:rsidP="003D1E2C">
      <w:pPr>
        <w:spacing w:after="0" w:line="240" w:lineRule="auto"/>
      </w:pPr>
      <w:r>
        <w:separator/>
      </w:r>
    </w:p>
  </w:footnote>
  <w:footnote w:type="continuationSeparator" w:id="0">
    <w:p w14:paraId="7F7881FF" w14:textId="77777777" w:rsidR="00C0606E" w:rsidRDefault="00C0606E" w:rsidP="003D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1F2"/>
    <w:multiLevelType w:val="hybridMultilevel"/>
    <w:tmpl w:val="4F7243E4"/>
    <w:lvl w:ilvl="0" w:tplc="C55AB2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3FA5"/>
    <w:multiLevelType w:val="hybridMultilevel"/>
    <w:tmpl w:val="C70A6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6EAE"/>
    <w:multiLevelType w:val="hybridMultilevel"/>
    <w:tmpl w:val="B4F46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1632D9"/>
    <w:multiLevelType w:val="hybridMultilevel"/>
    <w:tmpl w:val="76E84850"/>
    <w:lvl w:ilvl="0" w:tplc="ED8A7934">
      <w:start w:val="2"/>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011F3"/>
    <w:multiLevelType w:val="hybridMultilevel"/>
    <w:tmpl w:val="5D4231CA"/>
    <w:lvl w:ilvl="0" w:tplc="13C4A7A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E21A14"/>
    <w:multiLevelType w:val="hybridMultilevel"/>
    <w:tmpl w:val="3406442E"/>
    <w:lvl w:ilvl="0" w:tplc="4E3264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93DB6"/>
    <w:multiLevelType w:val="hybridMultilevel"/>
    <w:tmpl w:val="C068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B4E49"/>
    <w:multiLevelType w:val="hybridMultilevel"/>
    <w:tmpl w:val="B4F464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99B1E11"/>
    <w:multiLevelType w:val="hybridMultilevel"/>
    <w:tmpl w:val="31A4E8BE"/>
    <w:lvl w:ilvl="0" w:tplc="7E587FC8">
      <w:start w:val="1"/>
      <w:numFmt w:val="bullet"/>
      <w:lvlText w:val="•"/>
      <w:lvlJc w:val="left"/>
      <w:pPr>
        <w:tabs>
          <w:tab w:val="num" w:pos="720"/>
        </w:tabs>
        <w:ind w:left="720" w:hanging="360"/>
      </w:pPr>
      <w:rPr>
        <w:rFonts w:ascii="Arial" w:hAnsi="Arial" w:hint="default"/>
      </w:rPr>
    </w:lvl>
    <w:lvl w:ilvl="1" w:tplc="87B0095C" w:tentative="1">
      <w:start w:val="1"/>
      <w:numFmt w:val="bullet"/>
      <w:lvlText w:val="•"/>
      <w:lvlJc w:val="left"/>
      <w:pPr>
        <w:tabs>
          <w:tab w:val="num" w:pos="1440"/>
        </w:tabs>
        <w:ind w:left="1440" w:hanging="360"/>
      </w:pPr>
      <w:rPr>
        <w:rFonts w:ascii="Arial" w:hAnsi="Arial" w:hint="default"/>
      </w:rPr>
    </w:lvl>
    <w:lvl w:ilvl="2" w:tplc="5F06C990" w:tentative="1">
      <w:start w:val="1"/>
      <w:numFmt w:val="bullet"/>
      <w:lvlText w:val="•"/>
      <w:lvlJc w:val="left"/>
      <w:pPr>
        <w:tabs>
          <w:tab w:val="num" w:pos="2160"/>
        </w:tabs>
        <w:ind w:left="2160" w:hanging="360"/>
      </w:pPr>
      <w:rPr>
        <w:rFonts w:ascii="Arial" w:hAnsi="Arial" w:hint="default"/>
      </w:rPr>
    </w:lvl>
    <w:lvl w:ilvl="3" w:tplc="3F76EEC0" w:tentative="1">
      <w:start w:val="1"/>
      <w:numFmt w:val="bullet"/>
      <w:lvlText w:val="•"/>
      <w:lvlJc w:val="left"/>
      <w:pPr>
        <w:tabs>
          <w:tab w:val="num" w:pos="2880"/>
        </w:tabs>
        <w:ind w:left="2880" w:hanging="360"/>
      </w:pPr>
      <w:rPr>
        <w:rFonts w:ascii="Arial" w:hAnsi="Arial" w:hint="default"/>
      </w:rPr>
    </w:lvl>
    <w:lvl w:ilvl="4" w:tplc="EFB45DDC" w:tentative="1">
      <w:start w:val="1"/>
      <w:numFmt w:val="bullet"/>
      <w:lvlText w:val="•"/>
      <w:lvlJc w:val="left"/>
      <w:pPr>
        <w:tabs>
          <w:tab w:val="num" w:pos="3600"/>
        </w:tabs>
        <w:ind w:left="3600" w:hanging="360"/>
      </w:pPr>
      <w:rPr>
        <w:rFonts w:ascii="Arial" w:hAnsi="Arial" w:hint="default"/>
      </w:rPr>
    </w:lvl>
    <w:lvl w:ilvl="5" w:tplc="13B685EE" w:tentative="1">
      <w:start w:val="1"/>
      <w:numFmt w:val="bullet"/>
      <w:lvlText w:val="•"/>
      <w:lvlJc w:val="left"/>
      <w:pPr>
        <w:tabs>
          <w:tab w:val="num" w:pos="4320"/>
        </w:tabs>
        <w:ind w:left="4320" w:hanging="360"/>
      </w:pPr>
      <w:rPr>
        <w:rFonts w:ascii="Arial" w:hAnsi="Arial" w:hint="default"/>
      </w:rPr>
    </w:lvl>
    <w:lvl w:ilvl="6" w:tplc="A2E01B94" w:tentative="1">
      <w:start w:val="1"/>
      <w:numFmt w:val="bullet"/>
      <w:lvlText w:val="•"/>
      <w:lvlJc w:val="left"/>
      <w:pPr>
        <w:tabs>
          <w:tab w:val="num" w:pos="5040"/>
        </w:tabs>
        <w:ind w:left="5040" w:hanging="360"/>
      </w:pPr>
      <w:rPr>
        <w:rFonts w:ascii="Arial" w:hAnsi="Arial" w:hint="default"/>
      </w:rPr>
    </w:lvl>
    <w:lvl w:ilvl="7" w:tplc="485AFB4C" w:tentative="1">
      <w:start w:val="1"/>
      <w:numFmt w:val="bullet"/>
      <w:lvlText w:val="•"/>
      <w:lvlJc w:val="left"/>
      <w:pPr>
        <w:tabs>
          <w:tab w:val="num" w:pos="5760"/>
        </w:tabs>
        <w:ind w:left="5760" w:hanging="360"/>
      </w:pPr>
      <w:rPr>
        <w:rFonts w:ascii="Arial" w:hAnsi="Arial" w:hint="default"/>
      </w:rPr>
    </w:lvl>
    <w:lvl w:ilvl="8" w:tplc="33B29E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3F48F4"/>
    <w:multiLevelType w:val="hybridMultilevel"/>
    <w:tmpl w:val="FA44C5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E54201"/>
    <w:multiLevelType w:val="hybridMultilevel"/>
    <w:tmpl w:val="8DB4DB0C"/>
    <w:lvl w:ilvl="0" w:tplc="0D62AE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D11A5C"/>
    <w:multiLevelType w:val="hybridMultilevel"/>
    <w:tmpl w:val="688635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D43FCE">
      <w:start w:val="21"/>
      <w:numFmt w:val="bullet"/>
      <w:lvlText w:val="•"/>
      <w:lvlJc w:val="left"/>
      <w:pPr>
        <w:ind w:left="2700" w:hanging="72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56000"/>
    <w:multiLevelType w:val="hybridMultilevel"/>
    <w:tmpl w:val="CE564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B1709"/>
    <w:multiLevelType w:val="hybridMultilevel"/>
    <w:tmpl w:val="97E6E850"/>
    <w:lvl w:ilvl="0" w:tplc="C6BCA9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8E6BBC"/>
    <w:multiLevelType w:val="hybridMultilevel"/>
    <w:tmpl w:val="8DCEC4BC"/>
    <w:lvl w:ilvl="0" w:tplc="EC64705A">
      <w:start w:val="1"/>
      <w:numFmt w:val="bullet"/>
      <w:lvlText w:val="•"/>
      <w:lvlJc w:val="left"/>
      <w:pPr>
        <w:tabs>
          <w:tab w:val="num" w:pos="720"/>
        </w:tabs>
        <w:ind w:left="720" w:hanging="360"/>
      </w:pPr>
      <w:rPr>
        <w:rFonts w:ascii="Arial" w:hAnsi="Arial" w:hint="default"/>
      </w:rPr>
    </w:lvl>
    <w:lvl w:ilvl="1" w:tplc="9EFE08F6" w:tentative="1">
      <w:start w:val="1"/>
      <w:numFmt w:val="bullet"/>
      <w:lvlText w:val="•"/>
      <w:lvlJc w:val="left"/>
      <w:pPr>
        <w:tabs>
          <w:tab w:val="num" w:pos="1440"/>
        </w:tabs>
        <w:ind w:left="1440" w:hanging="360"/>
      </w:pPr>
      <w:rPr>
        <w:rFonts w:ascii="Arial" w:hAnsi="Arial" w:hint="default"/>
      </w:rPr>
    </w:lvl>
    <w:lvl w:ilvl="2" w:tplc="20C45254" w:tentative="1">
      <w:start w:val="1"/>
      <w:numFmt w:val="bullet"/>
      <w:lvlText w:val="•"/>
      <w:lvlJc w:val="left"/>
      <w:pPr>
        <w:tabs>
          <w:tab w:val="num" w:pos="2160"/>
        </w:tabs>
        <w:ind w:left="2160" w:hanging="360"/>
      </w:pPr>
      <w:rPr>
        <w:rFonts w:ascii="Arial" w:hAnsi="Arial" w:hint="default"/>
      </w:rPr>
    </w:lvl>
    <w:lvl w:ilvl="3" w:tplc="C1709E5A" w:tentative="1">
      <w:start w:val="1"/>
      <w:numFmt w:val="bullet"/>
      <w:lvlText w:val="•"/>
      <w:lvlJc w:val="left"/>
      <w:pPr>
        <w:tabs>
          <w:tab w:val="num" w:pos="2880"/>
        </w:tabs>
        <w:ind w:left="2880" w:hanging="360"/>
      </w:pPr>
      <w:rPr>
        <w:rFonts w:ascii="Arial" w:hAnsi="Arial" w:hint="default"/>
      </w:rPr>
    </w:lvl>
    <w:lvl w:ilvl="4" w:tplc="51FC82DA" w:tentative="1">
      <w:start w:val="1"/>
      <w:numFmt w:val="bullet"/>
      <w:lvlText w:val="•"/>
      <w:lvlJc w:val="left"/>
      <w:pPr>
        <w:tabs>
          <w:tab w:val="num" w:pos="3600"/>
        </w:tabs>
        <w:ind w:left="3600" w:hanging="360"/>
      </w:pPr>
      <w:rPr>
        <w:rFonts w:ascii="Arial" w:hAnsi="Arial" w:hint="default"/>
      </w:rPr>
    </w:lvl>
    <w:lvl w:ilvl="5" w:tplc="506E1E14" w:tentative="1">
      <w:start w:val="1"/>
      <w:numFmt w:val="bullet"/>
      <w:lvlText w:val="•"/>
      <w:lvlJc w:val="left"/>
      <w:pPr>
        <w:tabs>
          <w:tab w:val="num" w:pos="4320"/>
        </w:tabs>
        <w:ind w:left="4320" w:hanging="360"/>
      </w:pPr>
      <w:rPr>
        <w:rFonts w:ascii="Arial" w:hAnsi="Arial" w:hint="default"/>
      </w:rPr>
    </w:lvl>
    <w:lvl w:ilvl="6" w:tplc="58A401DC" w:tentative="1">
      <w:start w:val="1"/>
      <w:numFmt w:val="bullet"/>
      <w:lvlText w:val="•"/>
      <w:lvlJc w:val="left"/>
      <w:pPr>
        <w:tabs>
          <w:tab w:val="num" w:pos="5040"/>
        </w:tabs>
        <w:ind w:left="5040" w:hanging="360"/>
      </w:pPr>
      <w:rPr>
        <w:rFonts w:ascii="Arial" w:hAnsi="Arial" w:hint="default"/>
      </w:rPr>
    </w:lvl>
    <w:lvl w:ilvl="7" w:tplc="BFC804CA" w:tentative="1">
      <w:start w:val="1"/>
      <w:numFmt w:val="bullet"/>
      <w:lvlText w:val="•"/>
      <w:lvlJc w:val="left"/>
      <w:pPr>
        <w:tabs>
          <w:tab w:val="num" w:pos="5760"/>
        </w:tabs>
        <w:ind w:left="5760" w:hanging="360"/>
      </w:pPr>
      <w:rPr>
        <w:rFonts w:ascii="Arial" w:hAnsi="Arial" w:hint="default"/>
      </w:rPr>
    </w:lvl>
    <w:lvl w:ilvl="8" w:tplc="1FB850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7D1D40"/>
    <w:multiLevelType w:val="hybridMultilevel"/>
    <w:tmpl w:val="D1206496"/>
    <w:lvl w:ilvl="0" w:tplc="32EA9DA4">
      <w:start w:val="1"/>
      <w:numFmt w:val="bullet"/>
      <w:lvlText w:val=""/>
      <w:lvlJc w:val="left"/>
      <w:pPr>
        <w:tabs>
          <w:tab w:val="num" w:pos="720"/>
        </w:tabs>
        <w:ind w:left="720" w:hanging="360"/>
      </w:pPr>
      <w:rPr>
        <w:rFonts w:ascii="Symbol" w:hAnsi="Symbol" w:hint="default"/>
      </w:rPr>
    </w:lvl>
    <w:lvl w:ilvl="1" w:tplc="073842CC">
      <w:numFmt w:val="bullet"/>
      <w:lvlText w:val="o"/>
      <w:lvlJc w:val="left"/>
      <w:pPr>
        <w:tabs>
          <w:tab w:val="num" w:pos="1440"/>
        </w:tabs>
        <w:ind w:left="1440" w:hanging="360"/>
      </w:pPr>
      <w:rPr>
        <w:rFonts w:ascii="Courier New" w:hAnsi="Courier New" w:hint="default"/>
      </w:rPr>
    </w:lvl>
    <w:lvl w:ilvl="2" w:tplc="0608B584" w:tentative="1">
      <w:start w:val="1"/>
      <w:numFmt w:val="bullet"/>
      <w:lvlText w:val=""/>
      <w:lvlJc w:val="left"/>
      <w:pPr>
        <w:tabs>
          <w:tab w:val="num" w:pos="2160"/>
        </w:tabs>
        <w:ind w:left="2160" w:hanging="360"/>
      </w:pPr>
      <w:rPr>
        <w:rFonts w:ascii="Symbol" w:hAnsi="Symbol" w:hint="default"/>
      </w:rPr>
    </w:lvl>
    <w:lvl w:ilvl="3" w:tplc="36D27532" w:tentative="1">
      <w:start w:val="1"/>
      <w:numFmt w:val="bullet"/>
      <w:lvlText w:val=""/>
      <w:lvlJc w:val="left"/>
      <w:pPr>
        <w:tabs>
          <w:tab w:val="num" w:pos="2880"/>
        </w:tabs>
        <w:ind w:left="2880" w:hanging="360"/>
      </w:pPr>
      <w:rPr>
        <w:rFonts w:ascii="Symbol" w:hAnsi="Symbol" w:hint="default"/>
      </w:rPr>
    </w:lvl>
    <w:lvl w:ilvl="4" w:tplc="84040DCC" w:tentative="1">
      <w:start w:val="1"/>
      <w:numFmt w:val="bullet"/>
      <w:lvlText w:val=""/>
      <w:lvlJc w:val="left"/>
      <w:pPr>
        <w:tabs>
          <w:tab w:val="num" w:pos="3600"/>
        </w:tabs>
        <w:ind w:left="3600" w:hanging="360"/>
      </w:pPr>
      <w:rPr>
        <w:rFonts w:ascii="Symbol" w:hAnsi="Symbol" w:hint="default"/>
      </w:rPr>
    </w:lvl>
    <w:lvl w:ilvl="5" w:tplc="AA3EA6D6" w:tentative="1">
      <w:start w:val="1"/>
      <w:numFmt w:val="bullet"/>
      <w:lvlText w:val=""/>
      <w:lvlJc w:val="left"/>
      <w:pPr>
        <w:tabs>
          <w:tab w:val="num" w:pos="4320"/>
        </w:tabs>
        <w:ind w:left="4320" w:hanging="360"/>
      </w:pPr>
      <w:rPr>
        <w:rFonts w:ascii="Symbol" w:hAnsi="Symbol" w:hint="default"/>
      </w:rPr>
    </w:lvl>
    <w:lvl w:ilvl="6" w:tplc="D3AE5A2A" w:tentative="1">
      <w:start w:val="1"/>
      <w:numFmt w:val="bullet"/>
      <w:lvlText w:val=""/>
      <w:lvlJc w:val="left"/>
      <w:pPr>
        <w:tabs>
          <w:tab w:val="num" w:pos="5040"/>
        </w:tabs>
        <w:ind w:left="5040" w:hanging="360"/>
      </w:pPr>
      <w:rPr>
        <w:rFonts w:ascii="Symbol" w:hAnsi="Symbol" w:hint="default"/>
      </w:rPr>
    </w:lvl>
    <w:lvl w:ilvl="7" w:tplc="8806F356" w:tentative="1">
      <w:start w:val="1"/>
      <w:numFmt w:val="bullet"/>
      <w:lvlText w:val=""/>
      <w:lvlJc w:val="left"/>
      <w:pPr>
        <w:tabs>
          <w:tab w:val="num" w:pos="5760"/>
        </w:tabs>
        <w:ind w:left="5760" w:hanging="360"/>
      </w:pPr>
      <w:rPr>
        <w:rFonts w:ascii="Symbol" w:hAnsi="Symbol" w:hint="default"/>
      </w:rPr>
    </w:lvl>
    <w:lvl w:ilvl="8" w:tplc="CA14F44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AC25724"/>
    <w:multiLevelType w:val="hybridMultilevel"/>
    <w:tmpl w:val="735C25CC"/>
    <w:lvl w:ilvl="0" w:tplc="C55AB292">
      <w:start w:val="1"/>
      <w:numFmt w:val="decimal"/>
      <w:lvlText w:val="%1."/>
      <w:lvlJc w:val="left"/>
      <w:pPr>
        <w:ind w:left="360" w:hanging="360"/>
      </w:pPr>
      <w:rPr>
        <w:rFonts w:asciiTheme="minorHAnsi" w:eastAsiaTheme="minorHAnsi" w:hAnsiTheme="minorHAnsi" w:cstheme="minorBidi"/>
      </w:rPr>
    </w:lvl>
    <w:lvl w:ilvl="1" w:tplc="72A827DC">
      <w:start w:val="1"/>
      <w:numFmt w:val="lowerLetter"/>
      <w:lvlText w:val="%2."/>
      <w:lvlJc w:val="left"/>
      <w:pPr>
        <w:ind w:left="1080" w:hanging="360"/>
      </w:pPr>
      <w:rPr>
        <w:i w:val="0"/>
      </w:rPr>
    </w:lvl>
    <w:lvl w:ilvl="2" w:tplc="54E0A30E">
      <w:start w:val="1"/>
      <w:numFmt w:val="decimal"/>
      <w:lvlText w:val="%3."/>
      <w:lvlJc w:val="left"/>
      <w:pPr>
        <w:ind w:left="1800" w:hanging="180"/>
      </w:pPr>
      <w:rPr>
        <w:rFonts w:asciiTheme="minorHAnsi" w:eastAsiaTheme="minorHAnsi" w:hAnsiTheme="minorHAnsi" w:cstheme="minorBidi"/>
      </w:rPr>
    </w:lvl>
    <w:lvl w:ilvl="3" w:tplc="00B2E2FA">
      <w:numFmt w:val="bullet"/>
      <w:lvlText w:val="-"/>
      <w:lvlJc w:val="left"/>
      <w:pPr>
        <w:ind w:left="2520" w:hanging="360"/>
      </w:pPr>
      <w:rPr>
        <w:rFonts w:ascii="Calibri" w:eastAsiaTheme="minorHAnsi"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473C20"/>
    <w:multiLevelType w:val="hybridMultilevel"/>
    <w:tmpl w:val="C7CEB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06F05"/>
    <w:multiLevelType w:val="hybridMultilevel"/>
    <w:tmpl w:val="9EA83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443247"/>
    <w:multiLevelType w:val="hybridMultilevel"/>
    <w:tmpl w:val="2474B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0402CB"/>
    <w:multiLevelType w:val="hybridMultilevel"/>
    <w:tmpl w:val="AA809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1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9"/>
  </w:num>
  <w:num w:numId="9">
    <w:abstractNumId w:val="3"/>
  </w:num>
  <w:num w:numId="10">
    <w:abstractNumId w:val="13"/>
  </w:num>
  <w:num w:numId="11">
    <w:abstractNumId w:val="7"/>
  </w:num>
  <w:num w:numId="12">
    <w:abstractNumId w:val="20"/>
  </w:num>
  <w:num w:numId="13">
    <w:abstractNumId w:val="12"/>
  </w:num>
  <w:num w:numId="14">
    <w:abstractNumId w:val="6"/>
  </w:num>
  <w:num w:numId="15">
    <w:abstractNumId w:val="9"/>
  </w:num>
  <w:num w:numId="16">
    <w:abstractNumId w:val="4"/>
  </w:num>
  <w:num w:numId="17">
    <w:abstractNumId w:val="15"/>
  </w:num>
  <w:num w:numId="18">
    <w:abstractNumId w:val="8"/>
  </w:num>
  <w:num w:numId="19">
    <w:abstractNumId w:val="14"/>
  </w:num>
  <w:num w:numId="20">
    <w:abstractNumId w:val="1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B9"/>
    <w:rsid w:val="00005483"/>
    <w:rsid w:val="000119B7"/>
    <w:rsid w:val="00014071"/>
    <w:rsid w:val="00015B34"/>
    <w:rsid w:val="000204E5"/>
    <w:rsid w:val="000339A0"/>
    <w:rsid w:val="00034AB7"/>
    <w:rsid w:val="00041794"/>
    <w:rsid w:val="0004469C"/>
    <w:rsid w:val="0004506F"/>
    <w:rsid w:val="00045CD5"/>
    <w:rsid w:val="000469A9"/>
    <w:rsid w:val="000469DB"/>
    <w:rsid w:val="00047412"/>
    <w:rsid w:val="00060BA7"/>
    <w:rsid w:val="00061A1A"/>
    <w:rsid w:val="000653C0"/>
    <w:rsid w:val="0006683C"/>
    <w:rsid w:val="00067990"/>
    <w:rsid w:val="00070122"/>
    <w:rsid w:val="00073AE9"/>
    <w:rsid w:val="00074DFF"/>
    <w:rsid w:val="0007502D"/>
    <w:rsid w:val="0007518F"/>
    <w:rsid w:val="0007531A"/>
    <w:rsid w:val="00075D44"/>
    <w:rsid w:val="00081CE5"/>
    <w:rsid w:val="0008311B"/>
    <w:rsid w:val="000855C5"/>
    <w:rsid w:val="00086BF4"/>
    <w:rsid w:val="00086DE8"/>
    <w:rsid w:val="00091337"/>
    <w:rsid w:val="000948B2"/>
    <w:rsid w:val="000A0F5D"/>
    <w:rsid w:val="000A12B6"/>
    <w:rsid w:val="000A164D"/>
    <w:rsid w:val="000A4CBA"/>
    <w:rsid w:val="000A7588"/>
    <w:rsid w:val="000A7DF3"/>
    <w:rsid w:val="000B36AF"/>
    <w:rsid w:val="000B54CA"/>
    <w:rsid w:val="000B5E37"/>
    <w:rsid w:val="000B6957"/>
    <w:rsid w:val="000B6F36"/>
    <w:rsid w:val="000C1530"/>
    <w:rsid w:val="000C1F4F"/>
    <w:rsid w:val="000C2146"/>
    <w:rsid w:val="000C77A9"/>
    <w:rsid w:val="000D2FB9"/>
    <w:rsid w:val="000D3690"/>
    <w:rsid w:val="000D3FB1"/>
    <w:rsid w:val="000D43E8"/>
    <w:rsid w:val="000D7136"/>
    <w:rsid w:val="000D7D30"/>
    <w:rsid w:val="000E0884"/>
    <w:rsid w:val="000E3444"/>
    <w:rsid w:val="000E676D"/>
    <w:rsid w:val="000E6D6D"/>
    <w:rsid w:val="000F2487"/>
    <w:rsid w:val="000F653C"/>
    <w:rsid w:val="00100343"/>
    <w:rsid w:val="00101DEC"/>
    <w:rsid w:val="00107241"/>
    <w:rsid w:val="001148E1"/>
    <w:rsid w:val="0011599D"/>
    <w:rsid w:val="0011612D"/>
    <w:rsid w:val="00116EF6"/>
    <w:rsid w:val="00121601"/>
    <w:rsid w:val="0012483A"/>
    <w:rsid w:val="00133DE7"/>
    <w:rsid w:val="00137ED9"/>
    <w:rsid w:val="00140153"/>
    <w:rsid w:val="00141CC6"/>
    <w:rsid w:val="00143171"/>
    <w:rsid w:val="0014364C"/>
    <w:rsid w:val="00143B79"/>
    <w:rsid w:val="0014678C"/>
    <w:rsid w:val="001508EA"/>
    <w:rsid w:val="001512D6"/>
    <w:rsid w:val="00151C8D"/>
    <w:rsid w:val="00152200"/>
    <w:rsid w:val="00152341"/>
    <w:rsid w:val="001561BE"/>
    <w:rsid w:val="001603F4"/>
    <w:rsid w:val="001655BC"/>
    <w:rsid w:val="001673BA"/>
    <w:rsid w:val="00167FBC"/>
    <w:rsid w:val="00174394"/>
    <w:rsid w:val="00181BED"/>
    <w:rsid w:val="001945ED"/>
    <w:rsid w:val="00194992"/>
    <w:rsid w:val="001953CB"/>
    <w:rsid w:val="001A6861"/>
    <w:rsid w:val="001A7BCA"/>
    <w:rsid w:val="001B1DAA"/>
    <w:rsid w:val="001B3DCA"/>
    <w:rsid w:val="001B63EA"/>
    <w:rsid w:val="001B6B50"/>
    <w:rsid w:val="001C5506"/>
    <w:rsid w:val="001C7255"/>
    <w:rsid w:val="001D0480"/>
    <w:rsid w:val="001D0C74"/>
    <w:rsid w:val="001D2836"/>
    <w:rsid w:val="001D43FB"/>
    <w:rsid w:val="001D68F2"/>
    <w:rsid w:val="001D6F03"/>
    <w:rsid w:val="001D79CF"/>
    <w:rsid w:val="001E126C"/>
    <w:rsid w:val="001E2279"/>
    <w:rsid w:val="001E2308"/>
    <w:rsid w:val="001E2D68"/>
    <w:rsid w:val="001E327E"/>
    <w:rsid w:val="001E77CE"/>
    <w:rsid w:val="001E7C10"/>
    <w:rsid w:val="001F1F15"/>
    <w:rsid w:val="001F5FF6"/>
    <w:rsid w:val="00203A0D"/>
    <w:rsid w:val="00204900"/>
    <w:rsid w:val="00205B06"/>
    <w:rsid w:val="00207926"/>
    <w:rsid w:val="0021017A"/>
    <w:rsid w:val="00212AF0"/>
    <w:rsid w:val="0021452D"/>
    <w:rsid w:val="00214C6B"/>
    <w:rsid w:val="00215891"/>
    <w:rsid w:val="00221C8C"/>
    <w:rsid w:val="0022402A"/>
    <w:rsid w:val="002320F2"/>
    <w:rsid w:val="00232218"/>
    <w:rsid w:val="00232590"/>
    <w:rsid w:val="002325C9"/>
    <w:rsid w:val="00236C17"/>
    <w:rsid w:val="00240C70"/>
    <w:rsid w:val="00241910"/>
    <w:rsid w:val="00243F1B"/>
    <w:rsid w:val="002468A1"/>
    <w:rsid w:val="00247E0C"/>
    <w:rsid w:val="00252E89"/>
    <w:rsid w:val="002543E3"/>
    <w:rsid w:val="00256EF7"/>
    <w:rsid w:val="002603EB"/>
    <w:rsid w:val="002609E2"/>
    <w:rsid w:val="00262DDB"/>
    <w:rsid w:val="00263806"/>
    <w:rsid w:val="00264A7F"/>
    <w:rsid w:val="00264F14"/>
    <w:rsid w:val="00267A82"/>
    <w:rsid w:val="0027015E"/>
    <w:rsid w:val="00270281"/>
    <w:rsid w:val="0027085C"/>
    <w:rsid w:val="00270D77"/>
    <w:rsid w:val="0027362B"/>
    <w:rsid w:val="00275760"/>
    <w:rsid w:val="00277B9E"/>
    <w:rsid w:val="00280115"/>
    <w:rsid w:val="002805C7"/>
    <w:rsid w:val="00282A8C"/>
    <w:rsid w:val="0028779E"/>
    <w:rsid w:val="00293E50"/>
    <w:rsid w:val="00293F6F"/>
    <w:rsid w:val="00297F85"/>
    <w:rsid w:val="002A16C1"/>
    <w:rsid w:val="002A4325"/>
    <w:rsid w:val="002A5E30"/>
    <w:rsid w:val="002A6229"/>
    <w:rsid w:val="002A7DB7"/>
    <w:rsid w:val="002B3E93"/>
    <w:rsid w:val="002B705E"/>
    <w:rsid w:val="002C02E4"/>
    <w:rsid w:val="002C17D0"/>
    <w:rsid w:val="002D0721"/>
    <w:rsid w:val="002D3892"/>
    <w:rsid w:val="002D409A"/>
    <w:rsid w:val="002D4821"/>
    <w:rsid w:val="002D5BD8"/>
    <w:rsid w:val="002D7F5B"/>
    <w:rsid w:val="002E00D6"/>
    <w:rsid w:val="002E1108"/>
    <w:rsid w:val="002E17CB"/>
    <w:rsid w:val="002E617E"/>
    <w:rsid w:val="002F067F"/>
    <w:rsid w:val="002F1716"/>
    <w:rsid w:val="002F3FC5"/>
    <w:rsid w:val="002F42AD"/>
    <w:rsid w:val="002F508D"/>
    <w:rsid w:val="002F6224"/>
    <w:rsid w:val="0030147D"/>
    <w:rsid w:val="0030443A"/>
    <w:rsid w:val="00305F7C"/>
    <w:rsid w:val="0030754E"/>
    <w:rsid w:val="00311261"/>
    <w:rsid w:val="0031200E"/>
    <w:rsid w:val="0031700A"/>
    <w:rsid w:val="003225D5"/>
    <w:rsid w:val="003361C7"/>
    <w:rsid w:val="00336A6A"/>
    <w:rsid w:val="003370F1"/>
    <w:rsid w:val="00340D54"/>
    <w:rsid w:val="0034191B"/>
    <w:rsid w:val="003439F2"/>
    <w:rsid w:val="00344669"/>
    <w:rsid w:val="00345D62"/>
    <w:rsid w:val="003504B0"/>
    <w:rsid w:val="00357261"/>
    <w:rsid w:val="00360076"/>
    <w:rsid w:val="00360CB4"/>
    <w:rsid w:val="00365459"/>
    <w:rsid w:val="0036571A"/>
    <w:rsid w:val="00366257"/>
    <w:rsid w:val="00366BE5"/>
    <w:rsid w:val="0036705A"/>
    <w:rsid w:val="00373673"/>
    <w:rsid w:val="00374134"/>
    <w:rsid w:val="0037582E"/>
    <w:rsid w:val="003768F2"/>
    <w:rsid w:val="0038144C"/>
    <w:rsid w:val="00385A77"/>
    <w:rsid w:val="00387FB4"/>
    <w:rsid w:val="003925BC"/>
    <w:rsid w:val="00396C0A"/>
    <w:rsid w:val="00396FD4"/>
    <w:rsid w:val="003A063C"/>
    <w:rsid w:val="003A0969"/>
    <w:rsid w:val="003A53CC"/>
    <w:rsid w:val="003A5BD5"/>
    <w:rsid w:val="003B08A6"/>
    <w:rsid w:val="003B377C"/>
    <w:rsid w:val="003B723E"/>
    <w:rsid w:val="003C6C8A"/>
    <w:rsid w:val="003D0C16"/>
    <w:rsid w:val="003D1E2C"/>
    <w:rsid w:val="003D6070"/>
    <w:rsid w:val="003D779E"/>
    <w:rsid w:val="003E07CB"/>
    <w:rsid w:val="003E5954"/>
    <w:rsid w:val="003F1FEF"/>
    <w:rsid w:val="003F20FB"/>
    <w:rsid w:val="003F256B"/>
    <w:rsid w:val="00401B65"/>
    <w:rsid w:val="00410288"/>
    <w:rsid w:val="00411605"/>
    <w:rsid w:val="00416037"/>
    <w:rsid w:val="004242D6"/>
    <w:rsid w:val="004256C1"/>
    <w:rsid w:val="0042722F"/>
    <w:rsid w:val="00431246"/>
    <w:rsid w:val="004366ED"/>
    <w:rsid w:val="004372FE"/>
    <w:rsid w:val="00442343"/>
    <w:rsid w:val="0044597F"/>
    <w:rsid w:val="0044638A"/>
    <w:rsid w:val="004471F7"/>
    <w:rsid w:val="00453CE5"/>
    <w:rsid w:val="00460B58"/>
    <w:rsid w:val="00463D19"/>
    <w:rsid w:val="00464DFD"/>
    <w:rsid w:val="0046597E"/>
    <w:rsid w:val="0047153C"/>
    <w:rsid w:val="00472D54"/>
    <w:rsid w:val="00473802"/>
    <w:rsid w:val="004765B8"/>
    <w:rsid w:val="00481108"/>
    <w:rsid w:val="004837D8"/>
    <w:rsid w:val="004845CD"/>
    <w:rsid w:val="00484D07"/>
    <w:rsid w:val="004867DE"/>
    <w:rsid w:val="00493E4B"/>
    <w:rsid w:val="00494884"/>
    <w:rsid w:val="0049726D"/>
    <w:rsid w:val="004A2C16"/>
    <w:rsid w:val="004B0BB8"/>
    <w:rsid w:val="004B3D08"/>
    <w:rsid w:val="004B3F47"/>
    <w:rsid w:val="004B468F"/>
    <w:rsid w:val="004C1521"/>
    <w:rsid w:val="004C1C74"/>
    <w:rsid w:val="004C1ED5"/>
    <w:rsid w:val="004C2C5E"/>
    <w:rsid w:val="004C34C8"/>
    <w:rsid w:val="004C3B8F"/>
    <w:rsid w:val="004C3E2A"/>
    <w:rsid w:val="004C54DA"/>
    <w:rsid w:val="004C5CBA"/>
    <w:rsid w:val="004C7901"/>
    <w:rsid w:val="004C799E"/>
    <w:rsid w:val="004D21F9"/>
    <w:rsid w:val="004E0E86"/>
    <w:rsid w:val="004E3894"/>
    <w:rsid w:val="004E3A8D"/>
    <w:rsid w:val="004E428B"/>
    <w:rsid w:val="004E4DE5"/>
    <w:rsid w:val="004F5B66"/>
    <w:rsid w:val="004F7F23"/>
    <w:rsid w:val="00502303"/>
    <w:rsid w:val="00506A32"/>
    <w:rsid w:val="00511405"/>
    <w:rsid w:val="00514F2C"/>
    <w:rsid w:val="00515181"/>
    <w:rsid w:val="00515DDB"/>
    <w:rsid w:val="00516F0F"/>
    <w:rsid w:val="005204E6"/>
    <w:rsid w:val="00522D51"/>
    <w:rsid w:val="005258CF"/>
    <w:rsid w:val="00526632"/>
    <w:rsid w:val="005350ED"/>
    <w:rsid w:val="0053520D"/>
    <w:rsid w:val="00535ACD"/>
    <w:rsid w:val="00537954"/>
    <w:rsid w:val="00541314"/>
    <w:rsid w:val="0054341E"/>
    <w:rsid w:val="0054395F"/>
    <w:rsid w:val="005442C5"/>
    <w:rsid w:val="00546344"/>
    <w:rsid w:val="00551C81"/>
    <w:rsid w:val="00557498"/>
    <w:rsid w:val="005605B3"/>
    <w:rsid w:val="005617D2"/>
    <w:rsid w:val="0056187B"/>
    <w:rsid w:val="00561D7F"/>
    <w:rsid w:val="00563C02"/>
    <w:rsid w:val="00571F32"/>
    <w:rsid w:val="005774AB"/>
    <w:rsid w:val="005803C2"/>
    <w:rsid w:val="00584776"/>
    <w:rsid w:val="0059186A"/>
    <w:rsid w:val="00593F8A"/>
    <w:rsid w:val="005974B2"/>
    <w:rsid w:val="005A00A1"/>
    <w:rsid w:val="005B4521"/>
    <w:rsid w:val="005B6C3D"/>
    <w:rsid w:val="005C0081"/>
    <w:rsid w:val="005C009E"/>
    <w:rsid w:val="005C0E2C"/>
    <w:rsid w:val="005C333D"/>
    <w:rsid w:val="005D4633"/>
    <w:rsid w:val="005D64B6"/>
    <w:rsid w:val="005D6DA6"/>
    <w:rsid w:val="005D7A84"/>
    <w:rsid w:val="005E2D5F"/>
    <w:rsid w:val="005E5117"/>
    <w:rsid w:val="005F28B8"/>
    <w:rsid w:val="005F63AB"/>
    <w:rsid w:val="005F64B1"/>
    <w:rsid w:val="005F74F4"/>
    <w:rsid w:val="006031BD"/>
    <w:rsid w:val="0060522E"/>
    <w:rsid w:val="00605AAF"/>
    <w:rsid w:val="0061077C"/>
    <w:rsid w:val="00617CDE"/>
    <w:rsid w:val="006236A5"/>
    <w:rsid w:val="00625776"/>
    <w:rsid w:val="006262EE"/>
    <w:rsid w:val="006300DB"/>
    <w:rsid w:val="006303AD"/>
    <w:rsid w:val="00630EDF"/>
    <w:rsid w:val="0063484F"/>
    <w:rsid w:val="00635B3C"/>
    <w:rsid w:val="00642F8D"/>
    <w:rsid w:val="006437CB"/>
    <w:rsid w:val="00652AAA"/>
    <w:rsid w:val="0065314F"/>
    <w:rsid w:val="006539D9"/>
    <w:rsid w:val="00654590"/>
    <w:rsid w:val="00655D90"/>
    <w:rsid w:val="00660037"/>
    <w:rsid w:val="00661E06"/>
    <w:rsid w:val="00664B3A"/>
    <w:rsid w:val="006667BE"/>
    <w:rsid w:val="00667CC8"/>
    <w:rsid w:val="00667E6D"/>
    <w:rsid w:val="00670A14"/>
    <w:rsid w:val="00672F0E"/>
    <w:rsid w:val="00673A3A"/>
    <w:rsid w:val="00673CDA"/>
    <w:rsid w:val="00674600"/>
    <w:rsid w:val="00674FE6"/>
    <w:rsid w:val="0067500B"/>
    <w:rsid w:val="006852B9"/>
    <w:rsid w:val="0069644F"/>
    <w:rsid w:val="006A3045"/>
    <w:rsid w:val="006A5145"/>
    <w:rsid w:val="006A6F8D"/>
    <w:rsid w:val="006B1829"/>
    <w:rsid w:val="006B4D4B"/>
    <w:rsid w:val="006B5311"/>
    <w:rsid w:val="006B7C84"/>
    <w:rsid w:val="006C133E"/>
    <w:rsid w:val="006C17E4"/>
    <w:rsid w:val="006C1A81"/>
    <w:rsid w:val="006C50DE"/>
    <w:rsid w:val="006C5383"/>
    <w:rsid w:val="006C701D"/>
    <w:rsid w:val="006D57A9"/>
    <w:rsid w:val="006D6549"/>
    <w:rsid w:val="006E431C"/>
    <w:rsid w:val="006E65AC"/>
    <w:rsid w:val="006F03ED"/>
    <w:rsid w:val="006F15C6"/>
    <w:rsid w:val="006F18AB"/>
    <w:rsid w:val="006F2DCD"/>
    <w:rsid w:val="006F6506"/>
    <w:rsid w:val="006F6902"/>
    <w:rsid w:val="00700AF9"/>
    <w:rsid w:val="00701500"/>
    <w:rsid w:val="00701DF4"/>
    <w:rsid w:val="0070250B"/>
    <w:rsid w:val="007063FF"/>
    <w:rsid w:val="00710EBF"/>
    <w:rsid w:val="00712223"/>
    <w:rsid w:val="0071242E"/>
    <w:rsid w:val="0071411D"/>
    <w:rsid w:val="0071751B"/>
    <w:rsid w:val="00717D15"/>
    <w:rsid w:val="007264DE"/>
    <w:rsid w:val="00730887"/>
    <w:rsid w:val="00731194"/>
    <w:rsid w:val="00731B36"/>
    <w:rsid w:val="00732CF6"/>
    <w:rsid w:val="00735806"/>
    <w:rsid w:val="0074194F"/>
    <w:rsid w:val="007422D4"/>
    <w:rsid w:val="007444A9"/>
    <w:rsid w:val="00744A87"/>
    <w:rsid w:val="007547E9"/>
    <w:rsid w:val="0075551F"/>
    <w:rsid w:val="00761077"/>
    <w:rsid w:val="00774F18"/>
    <w:rsid w:val="00775DC4"/>
    <w:rsid w:val="00776E2A"/>
    <w:rsid w:val="00782C16"/>
    <w:rsid w:val="007841B1"/>
    <w:rsid w:val="00785E43"/>
    <w:rsid w:val="00790652"/>
    <w:rsid w:val="00792452"/>
    <w:rsid w:val="007965CE"/>
    <w:rsid w:val="0079793C"/>
    <w:rsid w:val="007A0CA7"/>
    <w:rsid w:val="007A420F"/>
    <w:rsid w:val="007A6A22"/>
    <w:rsid w:val="007B2696"/>
    <w:rsid w:val="007B7A68"/>
    <w:rsid w:val="007C1238"/>
    <w:rsid w:val="007C2F83"/>
    <w:rsid w:val="007C6480"/>
    <w:rsid w:val="007C739A"/>
    <w:rsid w:val="007C796E"/>
    <w:rsid w:val="007D3423"/>
    <w:rsid w:val="007D3D97"/>
    <w:rsid w:val="007D667A"/>
    <w:rsid w:val="007D6B42"/>
    <w:rsid w:val="007E2FBC"/>
    <w:rsid w:val="007E536F"/>
    <w:rsid w:val="007F0419"/>
    <w:rsid w:val="007F31DE"/>
    <w:rsid w:val="007F4B24"/>
    <w:rsid w:val="0080170E"/>
    <w:rsid w:val="00803B3E"/>
    <w:rsid w:val="008043C4"/>
    <w:rsid w:val="00806423"/>
    <w:rsid w:val="00806CCC"/>
    <w:rsid w:val="00807B78"/>
    <w:rsid w:val="00810889"/>
    <w:rsid w:val="008111B3"/>
    <w:rsid w:val="00813FEF"/>
    <w:rsid w:val="008140EC"/>
    <w:rsid w:val="00816343"/>
    <w:rsid w:val="00816786"/>
    <w:rsid w:val="00826568"/>
    <w:rsid w:val="00830533"/>
    <w:rsid w:val="008311E7"/>
    <w:rsid w:val="00832C90"/>
    <w:rsid w:val="00833EF0"/>
    <w:rsid w:val="0083697C"/>
    <w:rsid w:val="00844C0E"/>
    <w:rsid w:val="00844FDA"/>
    <w:rsid w:val="008450A3"/>
    <w:rsid w:val="00847450"/>
    <w:rsid w:val="00851AAA"/>
    <w:rsid w:val="0085287A"/>
    <w:rsid w:val="00853069"/>
    <w:rsid w:val="00860C51"/>
    <w:rsid w:val="00866533"/>
    <w:rsid w:val="00872122"/>
    <w:rsid w:val="0087311A"/>
    <w:rsid w:val="00880CB6"/>
    <w:rsid w:val="00881C89"/>
    <w:rsid w:val="00882BA6"/>
    <w:rsid w:val="00885BAC"/>
    <w:rsid w:val="008934ED"/>
    <w:rsid w:val="008940EA"/>
    <w:rsid w:val="008A27BF"/>
    <w:rsid w:val="008A2895"/>
    <w:rsid w:val="008A698B"/>
    <w:rsid w:val="008A6D4B"/>
    <w:rsid w:val="008A6EB1"/>
    <w:rsid w:val="008A7331"/>
    <w:rsid w:val="008B0821"/>
    <w:rsid w:val="008B1C59"/>
    <w:rsid w:val="008B34F3"/>
    <w:rsid w:val="008B4B4E"/>
    <w:rsid w:val="008B7DF1"/>
    <w:rsid w:val="008C06A8"/>
    <w:rsid w:val="008C4B1D"/>
    <w:rsid w:val="008D194E"/>
    <w:rsid w:val="008D34F7"/>
    <w:rsid w:val="008D5131"/>
    <w:rsid w:val="008D7156"/>
    <w:rsid w:val="008D7D9F"/>
    <w:rsid w:val="008E1B06"/>
    <w:rsid w:val="008E23DC"/>
    <w:rsid w:val="008E43C2"/>
    <w:rsid w:val="008E4673"/>
    <w:rsid w:val="008E5561"/>
    <w:rsid w:val="008E5EEA"/>
    <w:rsid w:val="008F05E1"/>
    <w:rsid w:val="008F0788"/>
    <w:rsid w:val="008F236F"/>
    <w:rsid w:val="008F3F35"/>
    <w:rsid w:val="008F556C"/>
    <w:rsid w:val="008F57F5"/>
    <w:rsid w:val="008F5902"/>
    <w:rsid w:val="008F67FD"/>
    <w:rsid w:val="008F6B6C"/>
    <w:rsid w:val="00903D31"/>
    <w:rsid w:val="00904A00"/>
    <w:rsid w:val="0090788C"/>
    <w:rsid w:val="00912D0E"/>
    <w:rsid w:val="00920085"/>
    <w:rsid w:val="009260FA"/>
    <w:rsid w:val="009319AD"/>
    <w:rsid w:val="0093364D"/>
    <w:rsid w:val="00934953"/>
    <w:rsid w:val="00936EEA"/>
    <w:rsid w:val="0094129E"/>
    <w:rsid w:val="00941ECD"/>
    <w:rsid w:val="009450BE"/>
    <w:rsid w:val="00952FB2"/>
    <w:rsid w:val="00955696"/>
    <w:rsid w:val="00957716"/>
    <w:rsid w:val="00960DB6"/>
    <w:rsid w:val="00960E3C"/>
    <w:rsid w:val="0096343B"/>
    <w:rsid w:val="0096566D"/>
    <w:rsid w:val="00967B30"/>
    <w:rsid w:val="009701F7"/>
    <w:rsid w:val="00972583"/>
    <w:rsid w:val="00977B10"/>
    <w:rsid w:val="00977F1A"/>
    <w:rsid w:val="00980472"/>
    <w:rsid w:val="00984545"/>
    <w:rsid w:val="00986FB0"/>
    <w:rsid w:val="00991AC6"/>
    <w:rsid w:val="00994592"/>
    <w:rsid w:val="00994E5D"/>
    <w:rsid w:val="00995964"/>
    <w:rsid w:val="00995B3B"/>
    <w:rsid w:val="009A4262"/>
    <w:rsid w:val="009A516F"/>
    <w:rsid w:val="009A5673"/>
    <w:rsid w:val="009A7AD0"/>
    <w:rsid w:val="009B12AE"/>
    <w:rsid w:val="009B15FF"/>
    <w:rsid w:val="009B1A96"/>
    <w:rsid w:val="009B3BFE"/>
    <w:rsid w:val="009B539D"/>
    <w:rsid w:val="009B565D"/>
    <w:rsid w:val="009B56F3"/>
    <w:rsid w:val="009B61D4"/>
    <w:rsid w:val="009C5964"/>
    <w:rsid w:val="009C63E9"/>
    <w:rsid w:val="009D6BDF"/>
    <w:rsid w:val="009D7B50"/>
    <w:rsid w:val="009E4581"/>
    <w:rsid w:val="009E5F99"/>
    <w:rsid w:val="009F1E68"/>
    <w:rsid w:val="009F25D2"/>
    <w:rsid w:val="00A04048"/>
    <w:rsid w:val="00A06552"/>
    <w:rsid w:val="00A0687B"/>
    <w:rsid w:val="00A07D8F"/>
    <w:rsid w:val="00A102EC"/>
    <w:rsid w:val="00A1209B"/>
    <w:rsid w:val="00A16CD3"/>
    <w:rsid w:val="00A20FBE"/>
    <w:rsid w:val="00A2607D"/>
    <w:rsid w:val="00A267F9"/>
    <w:rsid w:val="00A314A3"/>
    <w:rsid w:val="00A37684"/>
    <w:rsid w:val="00A438F3"/>
    <w:rsid w:val="00A44BD1"/>
    <w:rsid w:val="00A517E4"/>
    <w:rsid w:val="00A54052"/>
    <w:rsid w:val="00A55010"/>
    <w:rsid w:val="00A56ACC"/>
    <w:rsid w:val="00A627E6"/>
    <w:rsid w:val="00A63FB4"/>
    <w:rsid w:val="00A6497C"/>
    <w:rsid w:val="00A64E5D"/>
    <w:rsid w:val="00A700B8"/>
    <w:rsid w:val="00A704FB"/>
    <w:rsid w:val="00A713D1"/>
    <w:rsid w:val="00A73E93"/>
    <w:rsid w:val="00A747AE"/>
    <w:rsid w:val="00A75BF4"/>
    <w:rsid w:val="00A77B52"/>
    <w:rsid w:val="00A812BD"/>
    <w:rsid w:val="00A84739"/>
    <w:rsid w:val="00A91C62"/>
    <w:rsid w:val="00A91EC1"/>
    <w:rsid w:val="00A925EB"/>
    <w:rsid w:val="00A9772F"/>
    <w:rsid w:val="00AA1F25"/>
    <w:rsid w:val="00AA5F23"/>
    <w:rsid w:val="00AB16C5"/>
    <w:rsid w:val="00AC4488"/>
    <w:rsid w:val="00AC7401"/>
    <w:rsid w:val="00AC7C9F"/>
    <w:rsid w:val="00AD4CED"/>
    <w:rsid w:val="00AE1926"/>
    <w:rsid w:val="00AE2F02"/>
    <w:rsid w:val="00AE2F13"/>
    <w:rsid w:val="00AE3F15"/>
    <w:rsid w:val="00AE4E11"/>
    <w:rsid w:val="00AE7607"/>
    <w:rsid w:val="00AF070F"/>
    <w:rsid w:val="00AF1484"/>
    <w:rsid w:val="00AF14CE"/>
    <w:rsid w:val="00AF3972"/>
    <w:rsid w:val="00B01AF9"/>
    <w:rsid w:val="00B10D10"/>
    <w:rsid w:val="00B14CEB"/>
    <w:rsid w:val="00B22759"/>
    <w:rsid w:val="00B23E8A"/>
    <w:rsid w:val="00B31CEE"/>
    <w:rsid w:val="00B41CDA"/>
    <w:rsid w:val="00B441CF"/>
    <w:rsid w:val="00B4476A"/>
    <w:rsid w:val="00B44918"/>
    <w:rsid w:val="00B45AF9"/>
    <w:rsid w:val="00B50D6F"/>
    <w:rsid w:val="00B5323D"/>
    <w:rsid w:val="00B54E12"/>
    <w:rsid w:val="00B55221"/>
    <w:rsid w:val="00B557FC"/>
    <w:rsid w:val="00B55EB2"/>
    <w:rsid w:val="00B5717A"/>
    <w:rsid w:val="00B60146"/>
    <w:rsid w:val="00B610DE"/>
    <w:rsid w:val="00B63909"/>
    <w:rsid w:val="00B67273"/>
    <w:rsid w:val="00B73CD0"/>
    <w:rsid w:val="00B75A20"/>
    <w:rsid w:val="00B75E57"/>
    <w:rsid w:val="00B81E19"/>
    <w:rsid w:val="00B8209A"/>
    <w:rsid w:val="00B8367B"/>
    <w:rsid w:val="00B927B8"/>
    <w:rsid w:val="00B92ABD"/>
    <w:rsid w:val="00B92D59"/>
    <w:rsid w:val="00BA40DD"/>
    <w:rsid w:val="00BA4C68"/>
    <w:rsid w:val="00BB1FAF"/>
    <w:rsid w:val="00BB3B94"/>
    <w:rsid w:val="00BC19FC"/>
    <w:rsid w:val="00BC1F64"/>
    <w:rsid w:val="00BC23B1"/>
    <w:rsid w:val="00BC527F"/>
    <w:rsid w:val="00BC537A"/>
    <w:rsid w:val="00BD19F8"/>
    <w:rsid w:val="00BD5072"/>
    <w:rsid w:val="00BD578D"/>
    <w:rsid w:val="00BE1400"/>
    <w:rsid w:val="00BE4F5F"/>
    <w:rsid w:val="00BE5B88"/>
    <w:rsid w:val="00BF0281"/>
    <w:rsid w:val="00BF31D7"/>
    <w:rsid w:val="00C01DAA"/>
    <w:rsid w:val="00C0302A"/>
    <w:rsid w:val="00C0606E"/>
    <w:rsid w:val="00C07927"/>
    <w:rsid w:val="00C10444"/>
    <w:rsid w:val="00C11BB8"/>
    <w:rsid w:val="00C11CD8"/>
    <w:rsid w:val="00C15CA0"/>
    <w:rsid w:val="00C2437C"/>
    <w:rsid w:val="00C24602"/>
    <w:rsid w:val="00C24CB9"/>
    <w:rsid w:val="00C318FC"/>
    <w:rsid w:val="00C33BD2"/>
    <w:rsid w:val="00C34A19"/>
    <w:rsid w:val="00C45F89"/>
    <w:rsid w:val="00C509F9"/>
    <w:rsid w:val="00C50FD7"/>
    <w:rsid w:val="00C52E80"/>
    <w:rsid w:val="00C54215"/>
    <w:rsid w:val="00C57EF3"/>
    <w:rsid w:val="00C61898"/>
    <w:rsid w:val="00C66291"/>
    <w:rsid w:val="00C66748"/>
    <w:rsid w:val="00C80FA2"/>
    <w:rsid w:val="00C867EF"/>
    <w:rsid w:val="00C90B0B"/>
    <w:rsid w:val="00C93845"/>
    <w:rsid w:val="00C94244"/>
    <w:rsid w:val="00C954BB"/>
    <w:rsid w:val="00C97D9B"/>
    <w:rsid w:val="00CA0386"/>
    <w:rsid w:val="00CA0AF5"/>
    <w:rsid w:val="00CA27B1"/>
    <w:rsid w:val="00CA39B5"/>
    <w:rsid w:val="00CA5C88"/>
    <w:rsid w:val="00CB0439"/>
    <w:rsid w:val="00CB146C"/>
    <w:rsid w:val="00CB21AB"/>
    <w:rsid w:val="00CB3E74"/>
    <w:rsid w:val="00CC2580"/>
    <w:rsid w:val="00CD4A5F"/>
    <w:rsid w:val="00CD54D4"/>
    <w:rsid w:val="00CD6F01"/>
    <w:rsid w:val="00CE1BD5"/>
    <w:rsid w:val="00CE2D62"/>
    <w:rsid w:val="00CE358F"/>
    <w:rsid w:val="00CE3A54"/>
    <w:rsid w:val="00CE441A"/>
    <w:rsid w:val="00CE5A48"/>
    <w:rsid w:val="00CE5BCC"/>
    <w:rsid w:val="00CE67B3"/>
    <w:rsid w:val="00CF557A"/>
    <w:rsid w:val="00CF63F1"/>
    <w:rsid w:val="00CF7303"/>
    <w:rsid w:val="00CF747A"/>
    <w:rsid w:val="00CF7797"/>
    <w:rsid w:val="00D02C06"/>
    <w:rsid w:val="00D035E5"/>
    <w:rsid w:val="00D043A9"/>
    <w:rsid w:val="00D05654"/>
    <w:rsid w:val="00D05BB4"/>
    <w:rsid w:val="00D05F76"/>
    <w:rsid w:val="00D06C52"/>
    <w:rsid w:val="00D07620"/>
    <w:rsid w:val="00D10938"/>
    <w:rsid w:val="00D13645"/>
    <w:rsid w:val="00D137FA"/>
    <w:rsid w:val="00D13FDA"/>
    <w:rsid w:val="00D220BF"/>
    <w:rsid w:val="00D237BC"/>
    <w:rsid w:val="00D267E5"/>
    <w:rsid w:val="00D30B45"/>
    <w:rsid w:val="00D32B24"/>
    <w:rsid w:val="00D3744F"/>
    <w:rsid w:val="00D44441"/>
    <w:rsid w:val="00D46A9A"/>
    <w:rsid w:val="00D46CD7"/>
    <w:rsid w:val="00D47363"/>
    <w:rsid w:val="00D50B6D"/>
    <w:rsid w:val="00D559E9"/>
    <w:rsid w:val="00D57697"/>
    <w:rsid w:val="00D616D4"/>
    <w:rsid w:val="00D72124"/>
    <w:rsid w:val="00D74535"/>
    <w:rsid w:val="00D77E18"/>
    <w:rsid w:val="00D805B3"/>
    <w:rsid w:val="00D82014"/>
    <w:rsid w:val="00D8359A"/>
    <w:rsid w:val="00D85663"/>
    <w:rsid w:val="00D860CC"/>
    <w:rsid w:val="00D87ACA"/>
    <w:rsid w:val="00D9094B"/>
    <w:rsid w:val="00D90C75"/>
    <w:rsid w:val="00D92847"/>
    <w:rsid w:val="00D92AF7"/>
    <w:rsid w:val="00D97760"/>
    <w:rsid w:val="00DA0DC0"/>
    <w:rsid w:val="00DA1E68"/>
    <w:rsid w:val="00DA2ABF"/>
    <w:rsid w:val="00DA31BD"/>
    <w:rsid w:val="00DA3435"/>
    <w:rsid w:val="00DA4990"/>
    <w:rsid w:val="00DB003B"/>
    <w:rsid w:val="00DB0E03"/>
    <w:rsid w:val="00DB29AB"/>
    <w:rsid w:val="00DB789D"/>
    <w:rsid w:val="00DB7FF9"/>
    <w:rsid w:val="00DD244F"/>
    <w:rsid w:val="00DD2834"/>
    <w:rsid w:val="00DD357B"/>
    <w:rsid w:val="00DD52BE"/>
    <w:rsid w:val="00DE0B61"/>
    <w:rsid w:val="00DE1BC1"/>
    <w:rsid w:val="00DE5D1C"/>
    <w:rsid w:val="00DE6756"/>
    <w:rsid w:val="00DF1CB3"/>
    <w:rsid w:val="00DF30F4"/>
    <w:rsid w:val="00DF4CBA"/>
    <w:rsid w:val="00DF6289"/>
    <w:rsid w:val="00DF7DC1"/>
    <w:rsid w:val="00E01BE1"/>
    <w:rsid w:val="00E110DB"/>
    <w:rsid w:val="00E13465"/>
    <w:rsid w:val="00E13C1A"/>
    <w:rsid w:val="00E142BE"/>
    <w:rsid w:val="00E1458B"/>
    <w:rsid w:val="00E1567C"/>
    <w:rsid w:val="00E164AE"/>
    <w:rsid w:val="00E176B6"/>
    <w:rsid w:val="00E20DAC"/>
    <w:rsid w:val="00E21F79"/>
    <w:rsid w:val="00E25115"/>
    <w:rsid w:val="00E32128"/>
    <w:rsid w:val="00E3723E"/>
    <w:rsid w:val="00E42446"/>
    <w:rsid w:val="00E44AF7"/>
    <w:rsid w:val="00E47392"/>
    <w:rsid w:val="00E52072"/>
    <w:rsid w:val="00E528EF"/>
    <w:rsid w:val="00E550F4"/>
    <w:rsid w:val="00E55A80"/>
    <w:rsid w:val="00E55C52"/>
    <w:rsid w:val="00E61B24"/>
    <w:rsid w:val="00E673BE"/>
    <w:rsid w:val="00E72CFF"/>
    <w:rsid w:val="00E73A4C"/>
    <w:rsid w:val="00E74E4E"/>
    <w:rsid w:val="00E75B0A"/>
    <w:rsid w:val="00E81D49"/>
    <w:rsid w:val="00E85B97"/>
    <w:rsid w:val="00E85FA8"/>
    <w:rsid w:val="00E92FF7"/>
    <w:rsid w:val="00E9516E"/>
    <w:rsid w:val="00E95575"/>
    <w:rsid w:val="00EA06FD"/>
    <w:rsid w:val="00EA2BB9"/>
    <w:rsid w:val="00EA7940"/>
    <w:rsid w:val="00EB177D"/>
    <w:rsid w:val="00EB6AF4"/>
    <w:rsid w:val="00EC1F09"/>
    <w:rsid w:val="00EC25D2"/>
    <w:rsid w:val="00EC35BB"/>
    <w:rsid w:val="00EC6186"/>
    <w:rsid w:val="00ED058E"/>
    <w:rsid w:val="00ED170E"/>
    <w:rsid w:val="00ED4808"/>
    <w:rsid w:val="00ED53A0"/>
    <w:rsid w:val="00ED64A2"/>
    <w:rsid w:val="00ED753A"/>
    <w:rsid w:val="00EE5908"/>
    <w:rsid w:val="00EE6AA9"/>
    <w:rsid w:val="00EE783A"/>
    <w:rsid w:val="00EF04DF"/>
    <w:rsid w:val="00EF12A9"/>
    <w:rsid w:val="00F0259F"/>
    <w:rsid w:val="00F02B95"/>
    <w:rsid w:val="00F03533"/>
    <w:rsid w:val="00F03DDC"/>
    <w:rsid w:val="00F041FC"/>
    <w:rsid w:val="00F070F0"/>
    <w:rsid w:val="00F10CA0"/>
    <w:rsid w:val="00F10F20"/>
    <w:rsid w:val="00F14D32"/>
    <w:rsid w:val="00F20AE5"/>
    <w:rsid w:val="00F2616C"/>
    <w:rsid w:val="00F30FD7"/>
    <w:rsid w:val="00F346F4"/>
    <w:rsid w:val="00F34C4E"/>
    <w:rsid w:val="00F3695F"/>
    <w:rsid w:val="00F420AE"/>
    <w:rsid w:val="00F44A89"/>
    <w:rsid w:val="00F52EE7"/>
    <w:rsid w:val="00F6734E"/>
    <w:rsid w:val="00F6747E"/>
    <w:rsid w:val="00F67BBB"/>
    <w:rsid w:val="00F70F1B"/>
    <w:rsid w:val="00F715EC"/>
    <w:rsid w:val="00F71F6A"/>
    <w:rsid w:val="00F738C5"/>
    <w:rsid w:val="00F757DC"/>
    <w:rsid w:val="00F7609C"/>
    <w:rsid w:val="00F82F36"/>
    <w:rsid w:val="00F83B16"/>
    <w:rsid w:val="00F84AD4"/>
    <w:rsid w:val="00FA35D6"/>
    <w:rsid w:val="00FA5B43"/>
    <w:rsid w:val="00FA74D4"/>
    <w:rsid w:val="00FB07EA"/>
    <w:rsid w:val="00FB3B3F"/>
    <w:rsid w:val="00FB42A9"/>
    <w:rsid w:val="00FB4D2E"/>
    <w:rsid w:val="00FB59C2"/>
    <w:rsid w:val="00FB5DF7"/>
    <w:rsid w:val="00FC1145"/>
    <w:rsid w:val="00FC2966"/>
    <w:rsid w:val="00FC5019"/>
    <w:rsid w:val="00FD132B"/>
    <w:rsid w:val="00FD226C"/>
    <w:rsid w:val="00FD6A71"/>
    <w:rsid w:val="00FE1ADD"/>
    <w:rsid w:val="00FE2501"/>
    <w:rsid w:val="00FE6AF8"/>
    <w:rsid w:val="00FF0C7E"/>
    <w:rsid w:val="00FF1517"/>
    <w:rsid w:val="00FF1805"/>
    <w:rsid w:val="00FF1A3D"/>
    <w:rsid w:val="00FF36ED"/>
    <w:rsid w:val="00FF4247"/>
    <w:rsid w:val="00FF4702"/>
    <w:rsid w:val="00F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6093"/>
  <w15:docId w15:val="{9C018ED4-9253-421E-9305-EF018150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CB9"/>
    <w:pPr>
      <w:ind w:left="720"/>
      <w:contextualSpacing/>
    </w:pPr>
  </w:style>
  <w:style w:type="table" w:styleId="TableGrid">
    <w:name w:val="Table Grid"/>
    <w:basedOn w:val="TableNormal"/>
    <w:uiPriority w:val="59"/>
    <w:rsid w:val="00C2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CB9"/>
    <w:rPr>
      <w:color w:val="0563C1" w:themeColor="hyperlink"/>
      <w:u w:val="single"/>
    </w:rPr>
  </w:style>
  <w:style w:type="paragraph" w:styleId="BalloonText">
    <w:name w:val="Balloon Text"/>
    <w:basedOn w:val="Normal"/>
    <w:link w:val="BalloonTextChar"/>
    <w:uiPriority w:val="99"/>
    <w:semiHidden/>
    <w:unhideWhenUsed/>
    <w:rsid w:val="00E7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E4E"/>
    <w:rPr>
      <w:rFonts w:ascii="Tahoma" w:hAnsi="Tahoma" w:cs="Tahoma"/>
      <w:sz w:val="16"/>
      <w:szCs w:val="16"/>
    </w:rPr>
  </w:style>
  <w:style w:type="character" w:styleId="CommentReference">
    <w:name w:val="annotation reference"/>
    <w:basedOn w:val="DefaultParagraphFont"/>
    <w:uiPriority w:val="99"/>
    <w:semiHidden/>
    <w:unhideWhenUsed/>
    <w:rsid w:val="00E74E4E"/>
    <w:rPr>
      <w:sz w:val="16"/>
      <w:szCs w:val="16"/>
    </w:rPr>
  </w:style>
  <w:style w:type="paragraph" w:styleId="CommentText">
    <w:name w:val="annotation text"/>
    <w:basedOn w:val="Normal"/>
    <w:link w:val="CommentTextChar"/>
    <w:uiPriority w:val="99"/>
    <w:semiHidden/>
    <w:unhideWhenUsed/>
    <w:rsid w:val="00E74E4E"/>
    <w:pPr>
      <w:spacing w:line="240" w:lineRule="auto"/>
    </w:pPr>
    <w:rPr>
      <w:sz w:val="20"/>
      <w:szCs w:val="20"/>
    </w:rPr>
  </w:style>
  <w:style w:type="character" w:customStyle="1" w:styleId="CommentTextChar">
    <w:name w:val="Comment Text Char"/>
    <w:basedOn w:val="DefaultParagraphFont"/>
    <w:link w:val="CommentText"/>
    <w:uiPriority w:val="99"/>
    <w:semiHidden/>
    <w:rsid w:val="00E74E4E"/>
    <w:rPr>
      <w:sz w:val="20"/>
      <w:szCs w:val="20"/>
    </w:rPr>
  </w:style>
  <w:style w:type="paragraph" w:styleId="CommentSubject">
    <w:name w:val="annotation subject"/>
    <w:basedOn w:val="CommentText"/>
    <w:next w:val="CommentText"/>
    <w:link w:val="CommentSubjectChar"/>
    <w:uiPriority w:val="99"/>
    <w:semiHidden/>
    <w:unhideWhenUsed/>
    <w:rsid w:val="00E74E4E"/>
    <w:rPr>
      <w:b/>
      <w:bCs/>
    </w:rPr>
  </w:style>
  <w:style w:type="character" w:customStyle="1" w:styleId="CommentSubjectChar">
    <w:name w:val="Comment Subject Char"/>
    <w:basedOn w:val="CommentTextChar"/>
    <w:link w:val="CommentSubject"/>
    <w:uiPriority w:val="99"/>
    <w:semiHidden/>
    <w:rsid w:val="00E74E4E"/>
    <w:rPr>
      <w:b/>
      <w:bCs/>
      <w:sz w:val="20"/>
      <w:szCs w:val="20"/>
    </w:rPr>
  </w:style>
  <w:style w:type="paragraph" w:styleId="Header">
    <w:name w:val="header"/>
    <w:basedOn w:val="Normal"/>
    <w:link w:val="HeaderChar"/>
    <w:uiPriority w:val="99"/>
    <w:unhideWhenUsed/>
    <w:rsid w:val="003D1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E2C"/>
  </w:style>
  <w:style w:type="paragraph" w:styleId="Footer">
    <w:name w:val="footer"/>
    <w:basedOn w:val="Normal"/>
    <w:link w:val="FooterChar"/>
    <w:uiPriority w:val="99"/>
    <w:unhideWhenUsed/>
    <w:rsid w:val="003D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E2C"/>
  </w:style>
  <w:style w:type="character" w:customStyle="1" w:styleId="Mention1">
    <w:name w:val="Mention1"/>
    <w:basedOn w:val="DefaultParagraphFont"/>
    <w:uiPriority w:val="99"/>
    <w:semiHidden/>
    <w:unhideWhenUsed/>
    <w:rsid w:val="00AB16C5"/>
    <w:rPr>
      <w:color w:val="2B579A"/>
      <w:shd w:val="clear" w:color="auto" w:fill="E6E6E6"/>
    </w:rPr>
  </w:style>
  <w:style w:type="paragraph" w:styleId="NormalWeb">
    <w:name w:val="Normal (Web)"/>
    <w:basedOn w:val="Normal"/>
    <w:uiPriority w:val="99"/>
    <w:semiHidden/>
    <w:unhideWhenUsed/>
    <w:rsid w:val="00D805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572">
      <w:bodyDiv w:val="1"/>
      <w:marLeft w:val="0"/>
      <w:marRight w:val="0"/>
      <w:marTop w:val="0"/>
      <w:marBottom w:val="0"/>
      <w:divBdr>
        <w:top w:val="none" w:sz="0" w:space="0" w:color="auto"/>
        <w:left w:val="none" w:sz="0" w:space="0" w:color="auto"/>
        <w:bottom w:val="none" w:sz="0" w:space="0" w:color="auto"/>
        <w:right w:val="none" w:sz="0" w:space="0" w:color="auto"/>
      </w:divBdr>
      <w:divsChild>
        <w:div w:id="1274702642">
          <w:marLeft w:val="547"/>
          <w:marRight w:val="0"/>
          <w:marTop w:val="134"/>
          <w:marBottom w:val="0"/>
          <w:divBdr>
            <w:top w:val="none" w:sz="0" w:space="0" w:color="auto"/>
            <w:left w:val="none" w:sz="0" w:space="0" w:color="auto"/>
            <w:bottom w:val="none" w:sz="0" w:space="0" w:color="auto"/>
            <w:right w:val="none" w:sz="0" w:space="0" w:color="auto"/>
          </w:divBdr>
        </w:div>
      </w:divsChild>
    </w:div>
    <w:div w:id="184172009">
      <w:bodyDiv w:val="1"/>
      <w:marLeft w:val="0"/>
      <w:marRight w:val="0"/>
      <w:marTop w:val="0"/>
      <w:marBottom w:val="0"/>
      <w:divBdr>
        <w:top w:val="none" w:sz="0" w:space="0" w:color="auto"/>
        <w:left w:val="none" w:sz="0" w:space="0" w:color="auto"/>
        <w:bottom w:val="none" w:sz="0" w:space="0" w:color="auto"/>
        <w:right w:val="none" w:sz="0" w:space="0" w:color="auto"/>
      </w:divBdr>
      <w:divsChild>
        <w:div w:id="1546020021">
          <w:marLeft w:val="907"/>
          <w:marRight w:val="0"/>
          <w:marTop w:val="200"/>
          <w:marBottom w:val="0"/>
          <w:divBdr>
            <w:top w:val="none" w:sz="0" w:space="0" w:color="auto"/>
            <w:left w:val="none" w:sz="0" w:space="0" w:color="auto"/>
            <w:bottom w:val="none" w:sz="0" w:space="0" w:color="auto"/>
            <w:right w:val="none" w:sz="0" w:space="0" w:color="auto"/>
          </w:divBdr>
        </w:div>
      </w:divsChild>
    </w:div>
    <w:div w:id="338168280">
      <w:bodyDiv w:val="1"/>
      <w:marLeft w:val="0"/>
      <w:marRight w:val="0"/>
      <w:marTop w:val="0"/>
      <w:marBottom w:val="0"/>
      <w:divBdr>
        <w:top w:val="none" w:sz="0" w:space="0" w:color="auto"/>
        <w:left w:val="none" w:sz="0" w:space="0" w:color="auto"/>
        <w:bottom w:val="none" w:sz="0" w:space="0" w:color="auto"/>
        <w:right w:val="none" w:sz="0" w:space="0" w:color="auto"/>
      </w:divBdr>
    </w:div>
    <w:div w:id="433090713">
      <w:bodyDiv w:val="1"/>
      <w:marLeft w:val="0"/>
      <w:marRight w:val="0"/>
      <w:marTop w:val="0"/>
      <w:marBottom w:val="0"/>
      <w:divBdr>
        <w:top w:val="none" w:sz="0" w:space="0" w:color="auto"/>
        <w:left w:val="none" w:sz="0" w:space="0" w:color="auto"/>
        <w:bottom w:val="none" w:sz="0" w:space="0" w:color="auto"/>
        <w:right w:val="none" w:sz="0" w:space="0" w:color="auto"/>
      </w:divBdr>
      <w:divsChild>
        <w:div w:id="1144392295">
          <w:marLeft w:val="907"/>
          <w:marRight w:val="0"/>
          <w:marTop w:val="200"/>
          <w:marBottom w:val="0"/>
          <w:divBdr>
            <w:top w:val="none" w:sz="0" w:space="0" w:color="auto"/>
            <w:left w:val="none" w:sz="0" w:space="0" w:color="auto"/>
            <w:bottom w:val="none" w:sz="0" w:space="0" w:color="auto"/>
            <w:right w:val="none" w:sz="0" w:space="0" w:color="auto"/>
          </w:divBdr>
        </w:div>
      </w:divsChild>
    </w:div>
    <w:div w:id="493841424">
      <w:bodyDiv w:val="1"/>
      <w:marLeft w:val="0"/>
      <w:marRight w:val="0"/>
      <w:marTop w:val="0"/>
      <w:marBottom w:val="0"/>
      <w:divBdr>
        <w:top w:val="none" w:sz="0" w:space="0" w:color="auto"/>
        <w:left w:val="none" w:sz="0" w:space="0" w:color="auto"/>
        <w:bottom w:val="none" w:sz="0" w:space="0" w:color="auto"/>
        <w:right w:val="none" w:sz="0" w:space="0" w:color="auto"/>
      </w:divBdr>
      <w:divsChild>
        <w:div w:id="2031566339">
          <w:marLeft w:val="547"/>
          <w:marRight w:val="0"/>
          <w:marTop w:val="134"/>
          <w:marBottom w:val="0"/>
          <w:divBdr>
            <w:top w:val="none" w:sz="0" w:space="0" w:color="auto"/>
            <w:left w:val="none" w:sz="0" w:space="0" w:color="auto"/>
            <w:bottom w:val="none" w:sz="0" w:space="0" w:color="auto"/>
            <w:right w:val="none" w:sz="0" w:space="0" w:color="auto"/>
          </w:divBdr>
        </w:div>
      </w:divsChild>
    </w:div>
    <w:div w:id="863713364">
      <w:bodyDiv w:val="1"/>
      <w:marLeft w:val="0"/>
      <w:marRight w:val="0"/>
      <w:marTop w:val="0"/>
      <w:marBottom w:val="0"/>
      <w:divBdr>
        <w:top w:val="none" w:sz="0" w:space="0" w:color="auto"/>
        <w:left w:val="none" w:sz="0" w:space="0" w:color="auto"/>
        <w:bottom w:val="none" w:sz="0" w:space="0" w:color="auto"/>
        <w:right w:val="none" w:sz="0" w:space="0" w:color="auto"/>
      </w:divBdr>
    </w:div>
    <w:div w:id="1065107455">
      <w:bodyDiv w:val="1"/>
      <w:marLeft w:val="0"/>
      <w:marRight w:val="0"/>
      <w:marTop w:val="0"/>
      <w:marBottom w:val="0"/>
      <w:divBdr>
        <w:top w:val="none" w:sz="0" w:space="0" w:color="auto"/>
        <w:left w:val="none" w:sz="0" w:space="0" w:color="auto"/>
        <w:bottom w:val="none" w:sz="0" w:space="0" w:color="auto"/>
        <w:right w:val="none" w:sz="0" w:space="0" w:color="auto"/>
      </w:divBdr>
      <w:divsChild>
        <w:div w:id="1797719196">
          <w:marLeft w:val="547"/>
          <w:marRight w:val="0"/>
          <w:marTop w:val="0"/>
          <w:marBottom w:val="0"/>
          <w:divBdr>
            <w:top w:val="none" w:sz="0" w:space="0" w:color="auto"/>
            <w:left w:val="none" w:sz="0" w:space="0" w:color="auto"/>
            <w:bottom w:val="none" w:sz="0" w:space="0" w:color="auto"/>
            <w:right w:val="none" w:sz="0" w:space="0" w:color="auto"/>
          </w:divBdr>
        </w:div>
        <w:div w:id="1082920780">
          <w:marLeft w:val="1166"/>
          <w:marRight w:val="0"/>
          <w:marTop w:val="0"/>
          <w:marBottom w:val="0"/>
          <w:divBdr>
            <w:top w:val="none" w:sz="0" w:space="0" w:color="auto"/>
            <w:left w:val="none" w:sz="0" w:space="0" w:color="auto"/>
            <w:bottom w:val="none" w:sz="0" w:space="0" w:color="auto"/>
            <w:right w:val="none" w:sz="0" w:space="0" w:color="auto"/>
          </w:divBdr>
        </w:div>
        <w:div w:id="1910382109">
          <w:marLeft w:val="547"/>
          <w:marRight w:val="0"/>
          <w:marTop w:val="0"/>
          <w:marBottom w:val="0"/>
          <w:divBdr>
            <w:top w:val="none" w:sz="0" w:space="0" w:color="auto"/>
            <w:left w:val="none" w:sz="0" w:space="0" w:color="auto"/>
            <w:bottom w:val="none" w:sz="0" w:space="0" w:color="auto"/>
            <w:right w:val="none" w:sz="0" w:space="0" w:color="auto"/>
          </w:divBdr>
        </w:div>
        <w:div w:id="1312976759">
          <w:marLeft w:val="1166"/>
          <w:marRight w:val="0"/>
          <w:marTop w:val="0"/>
          <w:marBottom w:val="0"/>
          <w:divBdr>
            <w:top w:val="none" w:sz="0" w:space="0" w:color="auto"/>
            <w:left w:val="none" w:sz="0" w:space="0" w:color="auto"/>
            <w:bottom w:val="none" w:sz="0" w:space="0" w:color="auto"/>
            <w:right w:val="none" w:sz="0" w:space="0" w:color="auto"/>
          </w:divBdr>
        </w:div>
        <w:div w:id="2146704016">
          <w:marLeft w:val="547"/>
          <w:marRight w:val="0"/>
          <w:marTop w:val="0"/>
          <w:marBottom w:val="0"/>
          <w:divBdr>
            <w:top w:val="none" w:sz="0" w:space="0" w:color="auto"/>
            <w:left w:val="none" w:sz="0" w:space="0" w:color="auto"/>
            <w:bottom w:val="none" w:sz="0" w:space="0" w:color="auto"/>
            <w:right w:val="none" w:sz="0" w:space="0" w:color="auto"/>
          </w:divBdr>
        </w:div>
        <w:div w:id="1979799989">
          <w:marLeft w:val="547"/>
          <w:marRight w:val="0"/>
          <w:marTop w:val="0"/>
          <w:marBottom w:val="0"/>
          <w:divBdr>
            <w:top w:val="none" w:sz="0" w:space="0" w:color="auto"/>
            <w:left w:val="none" w:sz="0" w:space="0" w:color="auto"/>
            <w:bottom w:val="none" w:sz="0" w:space="0" w:color="auto"/>
            <w:right w:val="none" w:sz="0" w:space="0" w:color="auto"/>
          </w:divBdr>
        </w:div>
        <w:div w:id="1615399171">
          <w:marLeft w:val="547"/>
          <w:marRight w:val="0"/>
          <w:marTop w:val="0"/>
          <w:marBottom w:val="200"/>
          <w:divBdr>
            <w:top w:val="none" w:sz="0" w:space="0" w:color="auto"/>
            <w:left w:val="none" w:sz="0" w:space="0" w:color="auto"/>
            <w:bottom w:val="none" w:sz="0" w:space="0" w:color="auto"/>
            <w:right w:val="none" w:sz="0" w:space="0" w:color="auto"/>
          </w:divBdr>
        </w:div>
      </w:divsChild>
    </w:div>
    <w:div w:id="1391880087">
      <w:bodyDiv w:val="1"/>
      <w:marLeft w:val="0"/>
      <w:marRight w:val="0"/>
      <w:marTop w:val="0"/>
      <w:marBottom w:val="0"/>
      <w:divBdr>
        <w:top w:val="none" w:sz="0" w:space="0" w:color="auto"/>
        <w:left w:val="none" w:sz="0" w:space="0" w:color="auto"/>
        <w:bottom w:val="none" w:sz="0" w:space="0" w:color="auto"/>
        <w:right w:val="none" w:sz="0" w:space="0" w:color="auto"/>
      </w:divBdr>
    </w:div>
    <w:div w:id="1566867140">
      <w:bodyDiv w:val="1"/>
      <w:marLeft w:val="0"/>
      <w:marRight w:val="0"/>
      <w:marTop w:val="0"/>
      <w:marBottom w:val="0"/>
      <w:divBdr>
        <w:top w:val="none" w:sz="0" w:space="0" w:color="auto"/>
        <w:left w:val="none" w:sz="0" w:space="0" w:color="auto"/>
        <w:bottom w:val="none" w:sz="0" w:space="0" w:color="auto"/>
        <w:right w:val="none" w:sz="0" w:space="0" w:color="auto"/>
      </w:divBdr>
      <w:divsChild>
        <w:div w:id="94717242">
          <w:marLeft w:val="907"/>
          <w:marRight w:val="0"/>
          <w:marTop w:val="200"/>
          <w:marBottom w:val="0"/>
          <w:divBdr>
            <w:top w:val="none" w:sz="0" w:space="0" w:color="auto"/>
            <w:left w:val="none" w:sz="0" w:space="0" w:color="auto"/>
            <w:bottom w:val="none" w:sz="0" w:space="0" w:color="auto"/>
            <w:right w:val="none" w:sz="0" w:space="0" w:color="auto"/>
          </w:divBdr>
        </w:div>
      </w:divsChild>
    </w:div>
    <w:div w:id="1751341408">
      <w:bodyDiv w:val="1"/>
      <w:marLeft w:val="0"/>
      <w:marRight w:val="0"/>
      <w:marTop w:val="0"/>
      <w:marBottom w:val="0"/>
      <w:divBdr>
        <w:top w:val="none" w:sz="0" w:space="0" w:color="auto"/>
        <w:left w:val="none" w:sz="0" w:space="0" w:color="auto"/>
        <w:bottom w:val="none" w:sz="0" w:space="0" w:color="auto"/>
        <w:right w:val="none" w:sz="0" w:space="0" w:color="auto"/>
      </w:divBdr>
      <w:divsChild>
        <w:div w:id="141361344">
          <w:marLeft w:val="547"/>
          <w:marRight w:val="0"/>
          <w:marTop w:val="134"/>
          <w:marBottom w:val="0"/>
          <w:divBdr>
            <w:top w:val="none" w:sz="0" w:space="0" w:color="auto"/>
            <w:left w:val="none" w:sz="0" w:space="0" w:color="auto"/>
            <w:bottom w:val="none" w:sz="0" w:space="0" w:color="auto"/>
            <w:right w:val="none" w:sz="0" w:space="0" w:color="auto"/>
          </w:divBdr>
        </w:div>
        <w:div w:id="1747874526">
          <w:marLeft w:val="547"/>
          <w:marRight w:val="0"/>
          <w:marTop w:val="134"/>
          <w:marBottom w:val="0"/>
          <w:divBdr>
            <w:top w:val="none" w:sz="0" w:space="0" w:color="auto"/>
            <w:left w:val="none" w:sz="0" w:space="0" w:color="auto"/>
            <w:bottom w:val="none" w:sz="0" w:space="0" w:color="auto"/>
            <w:right w:val="none" w:sz="0" w:space="0" w:color="auto"/>
          </w:divBdr>
        </w:div>
        <w:div w:id="1325015596">
          <w:marLeft w:val="1166"/>
          <w:marRight w:val="0"/>
          <w:marTop w:val="134"/>
          <w:marBottom w:val="0"/>
          <w:divBdr>
            <w:top w:val="none" w:sz="0" w:space="0" w:color="auto"/>
            <w:left w:val="none" w:sz="0" w:space="0" w:color="auto"/>
            <w:bottom w:val="none" w:sz="0" w:space="0" w:color="auto"/>
            <w:right w:val="none" w:sz="0" w:space="0" w:color="auto"/>
          </w:divBdr>
        </w:div>
        <w:div w:id="1003505979">
          <w:marLeft w:val="1166"/>
          <w:marRight w:val="0"/>
          <w:marTop w:val="134"/>
          <w:marBottom w:val="0"/>
          <w:divBdr>
            <w:top w:val="none" w:sz="0" w:space="0" w:color="auto"/>
            <w:left w:val="none" w:sz="0" w:space="0" w:color="auto"/>
            <w:bottom w:val="none" w:sz="0" w:space="0" w:color="auto"/>
            <w:right w:val="none" w:sz="0" w:space="0" w:color="auto"/>
          </w:divBdr>
        </w:div>
      </w:divsChild>
    </w:div>
    <w:div w:id="2021858288">
      <w:bodyDiv w:val="1"/>
      <w:marLeft w:val="0"/>
      <w:marRight w:val="0"/>
      <w:marTop w:val="0"/>
      <w:marBottom w:val="0"/>
      <w:divBdr>
        <w:top w:val="none" w:sz="0" w:space="0" w:color="auto"/>
        <w:left w:val="none" w:sz="0" w:space="0" w:color="auto"/>
        <w:bottom w:val="none" w:sz="0" w:space="0" w:color="auto"/>
        <w:right w:val="none" w:sz="0" w:space="0" w:color="auto"/>
      </w:divBdr>
    </w:div>
    <w:div w:id="203699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5B57-1C09-43A1-8C0D-BE10559B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DKuhtenia</dc:creator>
  <cp:lastModifiedBy>Little, Roger (PHMSA)</cp:lastModifiedBy>
  <cp:revision>2</cp:revision>
  <dcterms:created xsi:type="dcterms:W3CDTF">2018-09-05T17:46:00Z</dcterms:created>
  <dcterms:modified xsi:type="dcterms:W3CDTF">2018-09-05T17:46:00Z</dcterms:modified>
</cp:coreProperties>
</file>