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4B30" w14:textId="77777777" w:rsidR="00B1699C" w:rsidRDefault="0056487B" w:rsidP="0096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Civil Penalty Summary</w:t>
      </w:r>
    </w:p>
    <w:p w14:paraId="79AB683F" w14:textId="77777777" w:rsidR="00B1699C" w:rsidRDefault="00B1699C" w:rsidP="0096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B23CF" w14:textId="0797574B" w:rsidR="00521664" w:rsidRDefault="009F32DA" w:rsidP="00B1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summary provides a general overview to assist the public in understanding civil penalty calculations.  Following an inspection or investigation of a pipeline facility that reveals a probable violation, the Office of Pipeline Safety prepares a </w:t>
      </w:r>
      <w:r w:rsidR="00B258F7">
        <w:rPr>
          <w:rFonts w:ascii="Times New Roman" w:hAnsi="Times New Roman" w:cs="Times New Roman"/>
          <w:sz w:val="24"/>
          <w:szCs w:val="24"/>
        </w:rPr>
        <w:t xml:space="preserve">Violation Report to document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258F7">
        <w:rPr>
          <w:rFonts w:ascii="Times New Roman" w:hAnsi="Times New Roman" w:cs="Times New Roman"/>
          <w:sz w:val="24"/>
          <w:szCs w:val="24"/>
        </w:rPr>
        <w:t xml:space="preserve">violation.  For </w:t>
      </w:r>
      <w:r w:rsidR="003805F3">
        <w:rPr>
          <w:rFonts w:ascii="Times New Roman" w:hAnsi="Times New Roman" w:cs="Times New Roman"/>
          <w:sz w:val="24"/>
          <w:szCs w:val="24"/>
        </w:rPr>
        <w:t>any</w:t>
      </w:r>
      <w:r w:rsidR="00B258F7">
        <w:rPr>
          <w:rFonts w:ascii="Times New Roman" w:hAnsi="Times New Roman" w:cs="Times New Roman"/>
          <w:sz w:val="24"/>
          <w:szCs w:val="24"/>
        </w:rPr>
        <w:t xml:space="preserve"> violation</w:t>
      </w:r>
      <w:r w:rsidR="003805F3">
        <w:rPr>
          <w:rFonts w:ascii="Times New Roman" w:hAnsi="Times New Roman" w:cs="Times New Roman"/>
          <w:sz w:val="24"/>
          <w:szCs w:val="24"/>
        </w:rPr>
        <w:t xml:space="preserve"> that </w:t>
      </w:r>
      <w:r w:rsidR="00B258F7">
        <w:rPr>
          <w:rFonts w:ascii="Times New Roman" w:hAnsi="Times New Roman" w:cs="Times New Roman"/>
          <w:sz w:val="24"/>
          <w:szCs w:val="24"/>
        </w:rPr>
        <w:t>warrant</w:t>
      </w:r>
      <w:r w:rsidR="003805F3">
        <w:rPr>
          <w:rFonts w:ascii="Times New Roman" w:hAnsi="Times New Roman" w:cs="Times New Roman"/>
          <w:sz w:val="24"/>
          <w:szCs w:val="24"/>
        </w:rPr>
        <w:t xml:space="preserve">s </w:t>
      </w:r>
      <w:r w:rsidR="00B258F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B258F7">
        <w:rPr>
          <w:rFonts w:ascii="Times New Roman" w:hAnsi="Times New Roman" w:cs="Times New Roman"/>
          <w:sz w:val="24"/>
          <w:szCs w:val="24"/>
        </w:rPr>
        <w:t xml:space="preserve">penalty, </w:t>
      </w:r>
      <w:r w:rsidR="00D41B36">
        <w:rPr>
          <w:rFonts w:ascii="Times New Roman" w:hAnsi="Times New Roman" w:cs="Times New Roman"/>
          <w:sz w:val="24"/>
          <w:szCs w:val="24"/>
        </w:rPr>
        <w:t xml:space="preserve">data from </w:t>
      </w:r>
      <w:r w:rsidR="003805F3">
        <w:rPr>
          <w:rFonts w:ascii="Times New Roman" w:hAnsi="Times New Roman" w:cs="Times New Roman"/>
          <w:sz w:val="24"/>
          <w:szCs w:val="24"/>
        </w:rPr>
        <w:t xml:space="preserve">the </w:t>
      </w:r>
      <w:r w:rsidR="00D41B36">
        <w:rPr>
          <w:rFonts w:ascii="Times New Roman" w:hAnsi="Times New Roman" w:cs="Times New Roman"/>
          <w:sz w:val="24"/>
          <w:szCs w:val="24"/>
        </w:rPr>
        <w:t>completed</w:t>
      </w:r>
      <w:r w:rsidR="00B258F7">
        <w:rPr>
          <w:rFonts w:ascii="Times New Roman" w:hAnsi="Times New Roman" w:cs="Times New Roman"/>
          <w:sz w:val="24"/>
          <w:szCs w:val="24"/>
        </w:rPr>
        <w:t xml:space="preserve"> </w:t>
      </w:r>
      <w:r w:rsidR="00D41B36">
        <w:rPr>
          <w:rFonts w:ascii="Times New Roman" w:hAnsi="Times New Roman" w:cs="Times New Roman"/>
          <w:sz w:val="24"/>
          <w:szCs w:val="24"/>
        </w:rPr>
        <w:t>V</w:t>
      </w:r>
      <w:r w:rsidR="00B258F7">
        <w:rPr>
          <w:rFonts w:ascii="Times New Roman" w:hAnsi="Times New Roman" w:cs="Times New Roman"/>
          <w:sz w:val="24"/>
          <w:szCs w:val="24"/>
        </w:rPr>
        <w:t xml:space="preserve">iolation Report </w:t>
      </w:r>
      <w:r w:rsidR="00521664">
        <w:rPr>
          <w:rFonts w:ascii="Times New Roman" w:hAnsi="Times New Roman" w:cs="Times New Roman"/>
          <w:sz w:val="24"/>
          <w:szCs w:val="24"/>
        </w:rPr>
        <w:t xml:space="preserve">is used </w:t>
      </w:r>
      <w:r w:rsidR="00B258F7">
        <w:rPr>
          <w:rFonts w:ascii="Times New Roman" w:hAnsi="Times New Roman" w:cs="Times New Roman"/>
          <w:sz w:val="24"/>
          <w:szCs w:val="24"/>
        </w:rPr>
        <w:t xml:space="preserve">to </w:t>
      </w:r>
      <w:r w:rsidR="0056487B">
        <w:rPr>
          <w:rFonts w:ascii="Times New Roman" w:hAnsi="Times New Roman" w:cs="Times New Roman"/>
          <w:sz w:val="24"/>
          <w:szCs w:val="24"/>
        </w:rPr>
        <w:t xml:space="preserve">calculate </w:t>
      </w:r>
      <w:r w:rsidR="00B258F7">
        <w:rPr>
          <w:rFonts w:ascii="Times New Roman" w:hAnsi="Times New Roman" w:cs="Times New Roman"/>
          <w:sz w:val="24"/>
          <w:szCs w:val="24"/>
        </w:rPr>
        <w:t xml:space="preserve">risk-based </w:t>
      </w:r>
      <w:r w:rsidR="0056487B">
        <w:rPr>
          <w:rFonts w:ascii="Times New Roman" w:hAnsi="Times New Roman" w:cs="Times New Roman"/>
          <w:sz w:val="24"/>
          <w:szCs w:val="24"/>
        </w:rPr>
        <w:t>civil penalties considering the statutory assessment factors in 49 U.S.C. § 60122</w:t>
      </w:r>
      <w:r w:rsidR="00E52FDA">
        <w:rPr>
          <w:rFonts w:ascii="Times New Roman" w:hAnsi="Times New Roman" w:cs="Times New Roman"/>
          <w:sz w:val="24"/>
          <w:szCs w:val="24"/>
        </w:rPr>
        <w:t xml:space="preserve"> and 49 C.F.R. § 190.225</w:t>
      </w:r>
      <w:r w:rsidR="005648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299DD4" w14:textId="77777777" w:rsidR="00521664" w:rsidRDefault="00521664" w:rsidP="00B1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8C1DB" w14:textId="6583593E" w:rsidR="00521664" w:rsidRDefault="00A31EFF" w:rsidP="00B1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assessment factors are </w:t>
      </w:r>
      <w:r w:rsidR="00521664">
        <w:rPr>
          <w:rFonts w:ascii="Times New Roman" w:hAnsi="Times New Roman" w:cs="Times New Roman"/>
          <w:sz w:val="24"/>
          <w:szCs w:val="24"/>
        </w:rPr>
        <w:t xml:space="preserve">listed below in the </w:t>
      </w:r>
      <w:r>
        <w:rPr>
          <w:rFonts w:ascii="Times New Roman" w:hAnsi="Times New Roman" w:cs="Times New Roman"/>
          <w:sz w:val="24"/>
          <w:szCs w:val="24"/>
        </w:rPr>
        <w:t xml:space="preserve">left </w:t>
      </w:r>
      <w:r w:rsidR="003805F3">
        <w:rPr>
          <w:rFonts w:ascii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hAnsi="Times New Roman" w:cs="Times New Roman"/>
          <w:sz w:val="24"/>
          <w:szCs w:val="24"/>
        </w:rPr>
        <w:t>column of the table.</w:t>
      </w:r>
      <w:r w:rsidR="00521664">
        <w:rPr>
          <w:rFonts w:ascii="Times New Roman" w:hAnsi="Times New Roman" w:cs="Times New Roman"/>
          <w:sz w:val="24"/>
          <w:szCs w:val="24"/>
        </w:rPr>
        <w:t xml:space="preserve">  The middle column </w:t>
      </w:r>
      <w:r w:rsidR="00152ECD">
        <w:rPr>
          <w:rFonts w:ascii="Times New Roman" w:hAnsi="Times New Roman" w:cs="Times New Roman"/>
          <w:sz w:val="24"/>
          <w:szCs w:val="24"/>
        </w:rPr>
        <w:t xml:space="preserve">explains </w:t>
      </w:r>
      <w:r w:rsidR="00521664">
        <w:rPr>
          <w:rFonts w:ascii="Times New Roman" w:hAnsi="Times New Roman" w:cs="Times New Roman"/>
          <w:sz w:val="24"/>
          <w:szCs w:val="24"/>
        </w:rPr>
        <w:t xml:space="preserve">the range of </w:t>
      </w:r>
      <w:r w:rsidR="00E16167">
        <w:rPr>
          <w:rFonts w:ascii="Times New Roman" w:hAnsi="Times New Roman" w:cs="Times New Roman"/>
          <w:sz w:val="24"/>
          <w:szCs w:val="24"/>
        </w:rPr>
        <w:t xml:space="preserve">potential </w:t>
      </w:r>
      <w:r w:rsidR="00521664">
        <w:rPr>
          <w:rFonts w:ascii="Times New Roman" w:hAnsi="Times New Roman" w:cs="Times New Roman"/>
          <w:sz w:val="24"/>
          <w:szCs w:val="24"/>
        </w:rPr>
        <w:t>conduct</w:t>
      </w:r>
      <w:r w:rsidR="00E16167">
        <w:rPr>
          <w:rFonts w:ascii="Times New Roman" w:hAnsi="Times New Roman" w:cs="Times New Roman"/>
          <w:sz w:val="24"/>
          <w:szCs w:val="24"/>
        </w:rPr>
        <w:t xml:space="preserve"> </w:t>
      </w:r>
      <w:r w:rsidR="00D72E74">
        <w:rPr>
          <w:rFonts w:ascii="Times New Roman" w:hAnsi="Times New Roman" w:cs="Times New Roman"/>
          <w:sz w:val="24"/>
          <w:szCs w:val="24"/>
        </w:rPr>
        <w:t xml:space="preserve">that was observed </w:t>
      </w:r>
      <w:r w:rsidR="00147766">
        <w:rPr>
          <w:rFonts w:ascii="Times New Roman" w:hAnsi="Times New Roman" w:cs="Times New Roman"/>
          <w:sz w:val="24"/>
          <w:szCs w:val="24"/>
        </w:rPr>
        <w:t xml:space="preserve">by </w:t>
      </w:r>
      <w:r w:rsidR="00403806">
        <w:rPr>
          <w:rFonts w:ascii="Times New Roman" w:hAnsi="Times New Roman" w:cs="Times New Roman"/>
          <w:sz w:val="24"/>
          <w:szCs w:val="24"/>
        </w:rPr>
        <w:t xml:space="preserve">PHMSA </w:t>
      </w:r>
      <w:r w:rsidR="00E16167">
        <w:rPr>
          <w:rFonts w:ascii="Times New Roman" w:hAnsi="Times New Roman" w:cs="Times New Roman"/>
          <w:sz w:val="24"/>
          <w:szCs w:val="24"/>
        </w:rPr>
        <w:t>in connection with the violation</w:t>
      </w:r>
      <w:r w:rsidR="00521664">
        <w:rPr>
          <w:rFonts w:ascii="Times New Roman" w:hAnsi="Times New Roman" w:cs="Times New Roman"/>
          <w:sz w:val="24"/>
          <w:szCs w:val="24"/>
        </w:rPr>
        <w:t xml:space="preserve">, generally from least to </w:t>
      </w:r>
      <w:r w:rsidR="003805F3">
        <w:rPr>
          <w:rFonts w:ascii="Times New Roman" w:hAnsi="Times New Roman" w:cs="Times New Roman"/>
          <w:sz w:val="24"/>
          <w:szCs w:val="24"/>
        </w:rPr>
        <w:t>most severe</w:t>
      </w:r>
      <w:r w:rsidR="00521664">
        <w:rPr>
          <w:rFonts w:ascii="Times New Roman" w:hAnsi="Times New Roman" w:cs="Times New Roman"/>
          <w:sz w:val="24"/>
          <w:szCs w:val="24"/>
        </w:rPr>
        <w:t xml:space="preserve">.  </w:t>
      </w:r>
      <w:r w:rsidR="00152ECD">
        <w:rPr>
          <w:rFonts w:ascii="Times New Roman" w:hAnsi="Times New Roman" w:cs="Times New Roman"/>
          <w:sz w:val="24"/>
          <w:szCs w:val="24"/>
        </w:rPr>
        <w:t xml:space="preserve">A Violation Report must make a selection within this range for each assessment factor.  </w:t>
      </w:r>
      <w:r w:rsidR="00521664" w:rsidRPr="0038439E">
        <w:rPr>
          <w:rFonts w:ascii="Times New Roman" w:hAnsi="Times New Roman" w:cs="Times New Roman"/>
          <w:sz w:val="24"/>
          <w:szCs w:val="24"/>
        </w:rPr>
        <w:t>The right column</w:t>
      </w:r>
      <w:r w:rsidR="00521664">
        <w:rPr>
          <w:rFonts w:ascii="Times New Roman" w:hAnsi="Times New Roman" w:cs="Times New Roman"/>
          <w:sz w:val="24"/>
          <w:szCs w:val="24"/>
        </w:rPr>
        <w:t xml:space="preserve"> </w:t>
      </w:r>
      <w:r w:rsidR="00F81B41">
        <w:rPr>
          <w:rFonts w:ascii="Times New Roman" w:hAnsi="Times New Roman" w:cs="Times New Roman"/>
          <w:sz w:val="24"/>
          <w:szCs w:val="24"/>
        </w:rPr>
        <w:t xml:space="preserve">provides </w:t>
      </w:r>
      <w:r w:rsidR="00147766">
        <w:rPr>
          <w:rFonts w:ascii="Times New Roman" w:hAnsi="Times New Roman" w:cs="Times New Roman"/>
          <w:sz w:val="24"/>
          <w:szCs w:val="24"/>
        </w:rPr>
        <w:t>a</w:t>
      </w:r>
      <w:r w:rsidR="00521664">
        <w:rPr>
          <w:rFonts w:ascii="Times New Roman" w:hAnsi="Times New Roman" w:cs="Times New Roman"/>
          <w:sz w:val="24"/>
          <w:szCs w:val="24"/>
        </w:rPr>
        <w:t xml:space="preserve"> range </w:t>
      </w:r>
      <w:r w:rsidR="00147766">
        <w:rPr>
          <w:rFonts w:ascii="Times New Roman" w:hAnsi="Times New Roman" w:cs="Times New Roman"/>
          <w:sz w:val="24"/>
          <w:szCs w:val="24"/>
        </w:rPr>
        <w:t xml:space="preserve">for the </w:t>
      </w:r>
      <w:r w:rsidR="00521664">
        <w:rPr>
          <w:rFonts w:ascii="Times New Roman" w:hAnsi="Times New Roman" w:cs="Times New Roman"/>
          <w:sz w:val="24"/>
          <w:szCs w:val="24"/>
        </w:rPr>
        <w:t>civil penalt</w:t>
      </w:r>
      <w:r w:rsidR="00147766">
        <w:rPr>
          <w:rFonts w:ascii="Times New Roman" w:hAnsi="Times New Roman" w:cs="Times New Roman"/>
          <w:sz w:val="24"/>
          <w:szCs w:val="24"/>
        </w:rPr>
        <w:t xml:space="preserve">y </w:t>
      </w:r>
      <w:r w:rsidR="00521664">
        <w:rPr>
          <w:rFonts w:ascii="Times New Roman" w:hAnsi="Times New Roman" w:cs="Times New Roman"/>
          <w:sz w:val="24"/>
          <w:szCs w:val="24"/>
        </w:rPr>
        <w:t xml:space="preserve">that may be assessed </w:t>
      </w:r>
      <w:r w:rsidR="006E6077">
        <w:rPr>
          <w:rFonts w:ascii="Times New Roman" w:hAnsi="Times New Roman" w:cs="Times New Roman"/>
          <w:sz w:val="24"/>
          <w:szCs w:val="24"/>
        </w:rPr>
        <w:t xml:space="preserve">under </w:t>
      </w:r>
      <w:r w:rsidR="00147766">
        <w:rPr>
          <w:rFonts w:ascii="Times New Roman" w:hAnsi="Times New Roman" w:cs="Times New Roman"/>
          <w:sz w:val="24"/>
          <w:szCs w:val="24"/>
        </w:rPr>
        <w:t xml:space="preserve">each </w:t>
      </w:r>
      <w:r w:rsidR="00521664">
        <w:rPr>
          <w:rFonts w:ascii="Times New Roman" w:hAnsi="Times New Roman" w:cs="Times New Roman"/>
          <w:sz w:val="24"/>
          <w:szCs w:val="24"/>
        </w:rPr>
        <w:t xml:space="preserve">assessment factor.  </w:t>
      </w:r>
    </w:p>
    <w:p w14:paraId="4151C181" w14:textId="77777777" w:rsidR="00521664" w:rsidRDefault="00521664" w:rsidP="00B1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94E9F" w14:textId="77777777" w:rsidR="0056487B" w:rsidRPr="00521664" w:rsidRDefault="008A0316" w:rsidP="00B16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1DB1">
        <w:rPr>
          <w:rFonts w:ascii="Times New Roman" w:hAnsi="Times New Roman" w:cs="Times New Roman"/>
          <w:sz w:val="24"/>
          <w:szCs w:val="24"/>
        </w:rPr>
        <w:t xml:space="preserve">civil </w:t>
      </w:r>
      <w:r w:rsidR="0056487B">
        <w:rPr>
          <w:rFonts w:ascii="Times New Roman" w:hAnsi="Times New Roman" w:cs="Times New Roman"/>
          <w:sz w:val="24"/>
          <w:szCs w:val="24"/>
        </w:rPr>
        <w:t xml:space="preserve">penalty </w:t>
      </w:r>
      <w:r w:rsidR="00521664">
        <w:rPr>
          <w:rFonts w:ascii="Times New Roman" w:hAnsi="Times New Roman" w:cs="Times New Roman"/>
          <w:sz w:val="24"/>
          <w:szCs w:val="24"/>
        </w:rPr>
        <w:t xml:space="preserve">for a </w:t>
      </w:r>
      <w:r w:rsidR="00C32099">
        <w:rPr>
          <w:rFonts w:ascii="Times New Roman" w:hAnsi="Times New Roman" w:cs="Times New Roman"/>
          <w:sz w:val="24"/>
          <w:szCs w:val="24"/>
        </w:rPr>
        <w:t xml:space="preserve">single </w:t>
      </w:r>
      <w:r w:rsidR="00521664">
        <w:rPr>
          <w:rFonts w:ascii="Times New Roman" w:hAnsi="Times New Roman" w:cs="Times New Roman"/>
          <w:sz w:val="24"/>
          <w:szCs w:val="24"/>
        </w:rPr>
        <w:t xml:space="preserve">violation </w:t>
      </w:r>
      <w:r w:rsidR="00414382">
        <w:rPr>
          <w:rFonts w:ascii="Times New Roman" w:hAnsi="Times New Roman" w:cs="Times New Roman"/>
          <w:sz w:val="24"/>
          <w:szCs w:val="24"/>
        </w:rPr>
        <w:t xml:space="preserve">is arrived at </w:t>
      </w:r>
      <w:r w:rsidR="00D72E74">
        <w:rPr>
          <w:rFonts w:ascii="Times New Roman" w:hAnsi="Times New Roman" w:cs="Times New Roman"/>
          <w:sz w:val="24"/>
          <w:szCs w:val="24"/>
        </w:rPr>
        <w:t xml:space="preserve">by combining </w:t>
      </w:r>
      <w:r w:rsidR="00521664">
        <w:rPr>
          <w:rFonts w:ascii="Times New Roman" w:hAnsi="Times New Roman" w:cs="Times New Roman"/>
          <w:sz w:val="24"/>
          <w:szCs w:val="24"/>
        </w:rPr>
        <w:t xml:space="preserve">the </w:t>
      </w:r>
      <w:r w:rsidR="0056487B">
        <w:rPr>
          <w:rFonts w:ascii="Times New Roman" w:hAnsi="Times New Roman" w:cs="Times New Roman"/>
          <w:sz w:val="24"/>
          <w:szCs w:val="24"/>
        </w:rPr>
        <w:t>amount</w:t>
      </w:r>
      <w:r w:rsidR="00D72E74">
        <w:rPr>
          <w:rFonts w:ascii="Times New Roman" w:hAnsi="Times New Roman" w:cs="Times New Roman"/>
          <w:sz w:val="24"/>
          <w:szCs w:val="24"/>
        </w:rPr>
        <w:t>s</w:t>
      </w:r>
      <w:r w:rsidR="00521664">
        <w:rPr>
          <w:rFonts w:ascii="Times New Roman" w:hAnsi="Times New Roman" w:cs="Times New Roman"/>
          <w:sz w:val="24"/>
          <w:szCs w:val="24"/>
        </w:rPr>
        <w:t xml:space="preserve"> </w:t>
      </w:r>
      <w:r w:rsidR="0056487B">
        <w:rPr>
          <w:rFonts w:ascii="Times New Roman" w:hAnsi="Times New Roman" w:cs="Times New Roman"/>
          <w:sz w:val="24"/>
          <w:szCs w:val="24"/>
        </w:rPr>
        <w:t xml:space="preserve">assigned under </w:t>
      </w:r>
      <w:r w:rsidR="00C32099">
        <w:rPr>
          <w:rFonts w:ascii="Times New Roman" w:hAnsi="Times New Roman" w:cs="Times New Roman"/>
          <w:sz w:val="24"/>
          <w:szCs w:val="24"/>
        </w:rPr>
        <w:t xml:space="preserve">each </w:t>
      </w:r>
      <w:r w:rsidR="0056487B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C32099">
        <w:rPr>
          <w:rFonts w:ascii="Times New Roman" w:hAnsi="Times New Roman" w:cs="Times New Roman"/>
          <w:sz w:val="24"/>
          <w:szCs w:val="24"/>
        </w:rPr>
        <w:t>factor</w:t>
      </w:r>
      <w:r w:rsidR="0056487B">
        <w:rPr>
          <w:rFonts w:ascii="Times New Roman" w:hAnsi="Times New Roman" w:cs="Times New Roman"/>
          <w:sz w:val="24"/>
          <w:szCs w:val="24"/>
        </w:rPr>
        <w:t>.</w:t>
      </w:r>
      <w:r w:rsidR="00521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2099" w:rsidRPr="00C32099">
        <w:rPr>
          <w:rFonts w:ascii="Times New Roman" w:hAnsi="Times New Roman" w:cs="Times New Roman"/>
          <w:sz w:val="24"/>
          <w:szCs w:val="24"/>
        </w:rPr>
        <w:t>A</w:t>
      </w:r>
      <w:r w:rsidR="00E52FDA" w:rsidRPr="00E52FDA">
        <w:rPr>
          <w:rFonts w:ascii="Times New Roman" w:hAnsi="Times New Roman" w:cs="Times New Roman"/>
          <w:sz w:val="24"/>
          <w:szCs w:val="24"/>
        </w:rPr>
        <w:t xml:space="preserve">pplication of </w:t>
      </w:r>
      <w:r w:rsidR="00E52FDA">
        <w:rPr>
          <w:rFonts w:ascii="Times New Roman" w:hAnsi="Times New Roman" w:cs="Times New Roman"/>
          <w:sz w:val="24"/>
          <w:szCs w:val="24"/>
        </w:rPr>
        <w:t xml:space="preserve">the assessment </w:t>
      </w:r>
      <w:r w:rsidR="00E52FDA" w:rsidRPr="00E52FDA">
        <w:rPr>
          <w:rFonts w:ascii="Times New Roman" w:hAnsi="Times New Roman" w:cs="Times New Roman"/>
          <w:sz w:val="24"/>
          <w:szCs w:val="24"/>
        </w:rPr>
        <w:t xml:space="preserve">factors </w:t>
      </w:r>
      <w:r w:rsidR="00E52FDA">
        <w:rPr>
          <w:rFonts w:ascii="Times New Roman" w:hAnsi="Times New Roman" w:cs="Times New Roman"/>
          <w:sz w:val="24"/>
          <w:szCs w:val="24"/>
        </w:rPr>
        <w:t xml:space="preserve">in an </w:t>
      </w:r>
      <w:r w:rsidR="00E52FDA" w:rsidRPr="00E52FDA">
        <w:rPr>
          <w:rFonts w:ascii="Times New Roman" w:hAnsi="Times New Roman" w:cs="Times New Roman"/>
          <w:sz w:val="24"/>
          <w:szCs w:val="24"/>
        </w:rPr>
        <w:t xml:space="preserve">individual case </w:t>
      </w:r>
      <w:r w:rsidR="00E52FDA">
        <w:rPr>
          <w:rFonts w:ascii="Times New Roman" w:hAnsi="Times New Roman" w:cs="Times New Roman"/>
          <w:sz w:val="24"/>
          <w:szCs w:val="24"/>
        </w:rPr>
        <w:t xml:space="preserve">will depend on the facts specific to that case.  </w:t>
      </w:r>
    </w:p>
    <w:p w14:paraId="60CA2504" w14:textId="77777777" w:rsidR="00FC534B" w:rsidRDefault="00FC534B" w:rsidP="0056487B">
      <w:pPr>
        <w:spacing w:after="120" w:line="12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50"/>
        <w:gridCol w:w="6102"/>
        <w:gridCol w:w="1886"/>
      </w:tblGrid>
      <w:tr w:rsidR="0056487B" w14:paraId="10098A15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1EE" w14:textId="77777777" w:rsidR="0056487B" w:rsidRDefault="00F77B77" w:rsidP="00152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Consideration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BC33" w14:textId="77777777" w:rsidR="0056487B" w:rsidRDefault="0056487B" w:rsidP="00CE1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Range of Conduct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CA38" w14:textId="77777777" w:rsidR="0056487B" w:rsidRDefault="005648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Penalty Range</w:t>
            </w:r>
          </w:p>
        </w:tc>
      </w:tr>
      <w:tr w:rsidR="0056487B" w14:paraId="349B6D94" w14:textId="77777777" w:rsidTr="000E263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2E5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FF07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A8B4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D036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B1E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B6F58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6DD1" w14:textId="4305A52D" w:rsidR="00F52357" w:rsidRDefault="0056487B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Records: </w:t>
            </w:r>
          </w:p>
          <w:p w14:paraId="5FD0C583" w14:textId="1F6F492B" w:rsidR="0056487B" w:rsidRPr="00972DA6" w:rsidRDefault="00F52357" w:rsidP="00137B38">
            <w:pPr>
              <w:pStyle w:val="ListParagraph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6296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xamples: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0496" w:rsidRPr="00972DA6">
              <w:rPr>
                <w:rFonts w:ascii="Times New Roman" w:hAnsi="Times New Roman" w:cs="Times New Roman"/>
                <w:sz w:val="24"/>
                <w:szCs w:val="24"/>
              </w:rPr>
              <w:t>issing, inaccurate, or incomplete records</w:t>
            </w:r>
          </w:p>
          <w:p w14:paraId="67362394" w14:textId="3E0A933B" w:rsidR="00F52357" w:rsidRDefault="0056487B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Activities: </w:t>
            </w:r>
          </w:p>
          <w:p w14:paraId="22FFE1AC" w14:textId="25252E16" w:rsidR="0056487B" w:rsidRPr="00972DA6" w:rsidRDefault="00F52357" w:rsidP="00137B38">
            <w:pPr>
              <w:pStyle w:val="ListParagraph"/>
              <w:ind w:left="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6296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xamples: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0496" w:rsidRPr="00972DA6">
              <w:rPr>
                <w:rFonts w:ascii="Times New Roman" w:hAnsi="Times New Roman" w:cs="Times New Roman"/>
                <w:sz w:val="24"/>
                <w:szCs w:val="24"/>
              </w:rPr>
              <w:t>erformance or conduct of activities</w:t>
            </w:r>
            <w:r w:rsidR="00013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0496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inspections, tests, maintenance, meetings, notifications, reports, emergency response, not preparing procedures, </w:t>
            </w:r>
            <w:r w:rsidR="00013D32" w:rsidRPr="00013D32">
              <w:rPr>
                <w:rFonts w:ascii="Times New Roman" w:hAnsi="Times New Roman" w:cs="Times New Roman"/>
                <w:sz w:val="24"/>
                <w:szCs w:val="24"/>
              </w:rPr>
              <w:t xml:space="preserve">not complying with a special permit, not complying with a PHMSA order, </w:t>
            </w:r>
            <w:r w:rsidR="00440496" w:rsidRPr="00972DA6">
              <w:rPr>
                <w:rFonts w:ascii="Times New Roman" w:hAnsi="Times New Roman" w:cs="Times New Roman"/>
                <w:sz w:val="24"/>
                <w:szCs w:val="24"/>
              </w:rPr>
              <w:t>or not following procedures</w:t>
            </w:r>
            <w:r w:rsidR="00B06296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15575" w14:textId="4B0B1570" w:rsidR="00E713C0" w:rsidRDefault="0056487B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Equipment/</w:t>
            </w:r>
            <w:r w:rsidR="006A7E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acilities: </w:t>
            </w:r>
          </w:p>
          <w:p w14:paraId="75B83867" w14:textId="5D3E58F7" w:rsidR="0056487B" w:rsidRPr="00972DA6" w:rsidRDefault="00E713C0" w:rsidP="00137B38">
            <w:pPr>
              <w:pStyle w:val="ListParagraph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6296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xamples: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6296" w:rsidRPr="00972DA6">
              <w:rPr>
                <w:rFonts w:ascii="Times New Roman" w:hAnsi="Times New Roman" w:cs="Times New Roman"/>
                <w:sz w:val="24"/>
                <w:szCs w:val="24"/>
              </w:rPr>
              <w:t>quipment not installed, missing, defective, inoperative, not properly sized, or not compatible with transported commodity</w:t>
            </w:r>
          </w:p>
          <w:p w14:paraId="3758AB86" w14:textId="77777777" w:rsidR="00226970" w:rsidRDefault="00226970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0EE" w14:textId="77777777" w:rsidR="008F21E1" w:rsidRDefault="008F21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DDAA" w14:textId="2C07F220" w:rsidR="0056487B" w:rsidRDefault="005648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E07A7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15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4C521" w14:textId="77777777" w:rsidR="0056487B" w:rsidRDefault="00FC14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69F662" wp14:editId="79193606">
                      <wp:simplePos x="0" y="0"/>
                      <wp:positionH relativeFrom="column">
                        <wp:posOffset>513684</wp:posOffset>
                      </wp:positionH>
                      <wp:positionV relativeFrom="paragraph">
                        <wp:posOffset>13616</wp:posOffset>
                      </wp:positionV>
                      <wp:extent cx="0" cy="1609344"/>
                      <wp:effectExtent l="76200" t="0" r="57150" b="4826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3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E91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40.45pt;margin-top:1.05pt;width:0;height:12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7NiOgIAAG4EAAAOAAAAZHJzL2Uyb0RvYy54bWysVMGO2yAQvVfqPyDuie3EySbWOquVnfSy&#10;bVfa7QcQwDEqBgQkTlT13ztgJ+22l6pqDmSAmTdv3gy+fzh3Ep24dUKrEmfTFCOuqGZCHUr85XU3&#10;WWHkPFGMSK14iS/c4YfN+3f3vSn4TLdaMm4RgChX9KbErfemSBJHW94RN9WGK7hstO2Ih609JMyS&#10;HtA7mczSdJn02jJjNeXOwWk9XOJNxG8aTv3npnHcI1li4ObjauO6D2uyuSfFwRLTCjrSIP/AoiNC&#10;QdIbVE08QUcr/oDqBLXa6cZPqe4S3TSC8lgDVJOlv1Xz0hLDYy0gjjM3mdz/g6WfTs8WCVbi+R1G&#10;inTQoxdviTi0Hj1aq3tUaaVAR20RuIBevXEFhFXq2YaK6Vm9mCdNvzqkdNUSdeCR9+vFAFYWIpI3&#10;IWHjDGTd9x81Ax9y9DqKd25sFyBBFnSOPbrcesTPHtHhkMJptkzX8zyP6KS4Bhrr/AeuOxSMErux&#10;kFsFWUxDTk/OB1qkuAaErErvhJRxIKRCfYnXi9kiBjgtBQuXwc3Zw76SFp1IGKn4G1m8cbP6qFgE&#10;azlh29H2REiwkY/ieCtALslxyNZxhpHk8IqCNdCTKmSE0oHwaA1T9W2drrer7Sqf5LPldpKndT15&#10;3FX5ZLnL7hb1vK6qOvseyGd50QrGuAr8rxOe5X83QeNbG2bzNuM3oZK36FFRIHv9j6Rj70O7h8HZ&#10;a3Z5tqG6MAYw1NF5fIDh1fy6j14/PxObHwAAAP//AwBQSwMEFAAGAAgAAAAhAFzR4s7cAAAABwEA&#10;AA8AAABkcnMvZG93bnJldi54bWxMjsFKw0AURfeC/zA8wZ2dtJDQppkUtYjZKLQV6XKaPDODmTch&#10;M21Tv96nG10e7uXeU6xG14kTDsF6UjCdJCCQat9YahW87Z7u5iBC1NTozhMquGCAVXl9Vei88Wfa&#10;4GkbW8EjFHKtwMTY51KG2qDTYeJ7JM4+/OB0ZBxa2Qz6zOOuk7MkyaTTlvjB6B4fDdaf26NTENf7&#10;i8ne64eFfd09v2T2q6qqtVK3N+P9EkTEMf6V4Uef1aFkp4M/UhNEp2CeLLipYDYFwfEvHhjTNAVZ&#10;FvK/f/kNAAD//wMAUEsBAi0AFAAGAAgAAAAhALaDOJL+AAAA4QEAABMAAAAAAAAAAAAAAAAAAAAA&#10;AFtDb250ZW50X1R5cGVzXS54bWxQSwECLQAUAAYACAAAACEAOP0h/9YAAACUAQAACwAAAAAAAAAA&#10;AAAAAAAvAQAAX3JlbHMvLnJlbHNQSwECLQAUAAYACAAAACEAeTOzYjoCAABuBAAADgAAAAAAAAAA&#10;AAAAAAAuAgAAZHJzL2Uyb0RvYy54bWxQSwECLQAUAAYACAAAACEAXNHiztwAAAAH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14:paraId="4C6B854A" w14:textId="77777777" w:rsidR="0056487B" w:rsidRDefault="005648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3CED" w14:textId="77777777" w:rsidR="0056487B" w:rsidRDefault="005648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3029" w14:textId="77777777" w:rsidR="007A32AD" w:rsidRDefault="007A32AD" w:rsidP="007A32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4321" w14:textId="77777777" w:rsidR="00FC14D1" w:rsidRDefault="00FC14D1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FF3D" w14:textId="77777777" w:rsidR="00FC14D1" w:rsidRDefault="00FC14D1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8E1F" w14:textId="77777777" w:rsidR="00FC14D1" w:rsidRDefault="00FC14D1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AEF42" w14:textId="77777777" w:rsidR="00FC14D1" w:rsidRDefault="00FC14D1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CB36" w14:textId="77777777" w:rsidR="0056163A" w:rsidRDefault="0056163A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0E00" w14:textId="77777777" w:rsidR="0056163A" w:rsidRDefault="0056163A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B96D" w14:textId="338C9BB4" w:rsidR="0056487B" w:rsidRDefault="0056487B" w:rsidP="000870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87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0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87B" w14:paraId="18FB22D8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EA8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6F59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546A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515C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Circumstances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AA5" w14:textId="366F674E" w:rsidR="0056487B" w:rsidRPr="00E777D1" w:rsidRDefault="009549B5" w:rsidP="006E6A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7D1">
              <w:rPr>
                <w:rFonts w:ascii="Times New Roman" w:hAnsi="Times New Roman" w:cs="Times New Roman"/>
                <w:sz w:val="24"/>
                <w:szCs w:val="24"/>
              </w:rPr>
              <w:t xml:space="preserve">Operator self-reported the violation to PHMSA </w:t>
            </w:r>
            <w:r w:rsidR="00AE230D" w:rsidRPr="00E777D1">
              <w:rPr>
                <w:rFonts w:ascii="Times New Roman" w:hAnsi="Times New Roman" w:cs="Times New Roman"/>
                <w:sz w:val="24"/>
                <w:szCs w:val="24"/>
              </w:rPr>
              <w:t xml:space="preserve">(PHMSA includes State Partners) </w:t>
            </w:r>
            <w:r w:rsidRPr="00E777D1">
              <w:rPr>
                <w:rFonts w:ascii="Times New Roman" w:hAnsi="Times New Roman" w:cs="Times New Roman"/>
                <w:sz w:val="24"/>
                <w:szCs w:val="24"/>
              </w:rPr>
              <w:t>before it was discovered by PHMSA</w:t>
            </w:r>
            <w:r w:rsidR="00D7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F6" w:rsidRPr="00D465F6">
              <w:rPr>
                <w:rFonts w:ascii="Times New Roman" w:hAnsi="Times New Roman" w:cs="Times New Roman"/>
                <w:sz w:val="24"/>
                <w:szCs w:val="24"/>
              </w:rPr>
              <w:t>(Does not apply to operator post-accident/incident self-reporting.)</w:t>
            </w:r>
          </w:p>
          <w:p w14:paraId="6F14ACEE" w14:textId="500F0673" w:rsidR="0056487B" w:rsidRDefault="00B06296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7D1">
              <w:rPr>
                <w:rFonts w:ascii="Times New Roman" w:hAnsi="Times New Roman" w:cs="Times New Roman"/>
                <w:sz w:val="24"/>
                <w:szCs w:val="24"/>
              </w:rPr>
              <w:t>PHMSA</w:t>
            </w:r>
            <w:r w:rsidR="006F187A">
              <w:rPr>
                <w:rFonts w:ascii="Times New Roman" w:hAnsi="Times New Roman" w:cs="Times New Roman"/>
                <w:sz w:val="24"/>
                <w:szCs w:val="24"/>
              </w:rPr>
              <w:t xml:space="preserve"> or a State partner</w:t>
            </w:r>
            <w:r w:rsidRPr="00E7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87B" w:rsidRPr="00E777D1">
              <w:rPr>
                <w:rFonts w:ascii="Times New Roman" w:hAnsi="Times New Roman" w:cs="Times New Roman"/>
                <w:sz w:val="24"/>
                <w:szCs w:val="24"/>
              </w:rPr>
              <w:t xml:space="preserve">discovered the </w:t>
            </w:r>
            <w:r w:rsidRPr="00E777D1">
              <w:rPr>
                <w:rFonts w:ascii="Times New Roman" w:hAnsi="Times New Roman" w:cs="Times New Roman"/>
                <w:sz w:val="24"/>
                <w:szCs w:val="24"/>
              </w:rPr>
              <w:t>violation</w:t>
            </w:r>
          </w:p>
          <w:p w14:paraId="6B773C6C" w14:textId="40B28ADC" w:rsidR="00952DD4" w:rsidRPr="00E777D1" w:rsidRDefault="00952DD4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BC1">
              <w:rPr>
                <w:rFonts w:ascii="Times New Roman" w:hAnsi="Times New Roman" w:cs="Times New Roman"/>
                <w:sz w:val="24"/>
                <w:szCs w:val="24"/>
              </w:rPr>
              <w:t xml:space="preserve">Public reported the violation to PHMSA (including State Partners)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89F33" w14:textId="4CE1EAB8" w:rsidR="0056487B" w:rsidRDefault="0056487B" w:rsidP="007B2BC1">
            <w:pPr>
              <w:pStyle w:val="ListParagraph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708" w14:textId="77777777" w:rsidR="0056487B" w:rsidRDefault="00FB0A10" w:rsidP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9B5">
              <w:rPr>
                <w:rFonts w:ascii="Times New Roman" w:hAnsi="Times New Roman" w:cs="Times New Roman"/>
                <w:sz w:val="24"/>
                <w:szCs w:val="24"/>
              </w:rPr>
              <w:t xml:space="preserve">Variable credit </w:t>
            </w:r>
          </w:p>
          <w:p w14:paraId="63D06DE4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94279E4" wp14:editId="3633B05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41910</wp:posOffset>
                      </wp:positionV>
                      <wp:extent cx="0" cy="795528"/>
                      <wp:effectExtent l="76200" t="0" r="57150" b="6223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55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B838BD" id="Straight Arrow Connector 35" o:spid="_x0000_s1026" type="#_x0000_t32" style="position:absolute;margin-left:41.65pt;margin-top:3.3pt;width:0;height:62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7oOQIAAG0EAAAOAAAAZHJzL2Uyb0RvYy54bWysVMGO2jAQvVfqP1i+QwgLuxBtWK0S6GXb&#10;rrTbDzC2Q6w6Hss2BFT13zs2gXbbS1WVgxnbM2/evBnn/uHYaXKQziswJc3HE0qk4SCU2ZX0y+tm&#10;tKDEB2YE02BkSU/S04fV+3f3vS3kFFrQQjqCIMYXvS1pG4ItsszzVnbMj8FKg5cNuI4F3LpdJhzr&#10;Eb3T2XQyuc16cMI64NJ7PK3Pl3SV8JtG8vC5abwMRJcUuYW0urRu45qt7lmxc8y2ig802D+w6Jgy&#10;mPQKVbPAyN6pP6A6xR14aMKYQ5dB0yguUw1YTT75rZqXllmZakFxvL3K5P8fLP90eHZEiZLezCkx&#10;rMMevQTH1K4N5NE56EkFxqCO4Ai6oF699QWGVebZxYr50bzYJ+BfPTFQtczsZOL9erKIlceI7E1I&#10;3HiLWbf9RxDow/YBknjHxnUREmUhx9Sj07VH8hgIPx9yPL1bzufTRQJnxSXOOh8+SOhINErqhzqu&#10;BeQpCzs8+RBZseISEJMa2Cit0zxoQ/qSLufTeQrwoJWIl9HNu9220o4cWJyo9BtYvHFzsDcigbWS&#10;ifVgB6Y02iQkbYJTqJaWNGbrpKBES3xE0TrT0yZmxMqR8GCdh+rbcrJcL9aL2Wg2vV2PZpO6Hj1u&#10;qtnodpPfzeubuqrq/Hskn8+KVgkhTeR/GfB89ncDNDy182heR/wqVPYWPSmKZC//iXRqfez2eW62&#10;IE7PLlYXpwBnOjkP7y8+ml/3yevnV2L1AwAA//8DAFBLAwQUAAYACAAAACEAx5b/k9wAAAAHAQAA&#10;DwAAAGRycy9kb3ducmV2LnhtbEyOUUvDMBSF3wX/Q7iCby6dhbDVpkMdYl8U3ER8zNprE2xuSpNt&#10;nb/eqy/6eDgf53zlavK9OOAYXSAN81kGAqkJraNOw+v24WoBIiZDrekDoYYTRlhV52elKdpwpBc8&#10;bFIneIRiYTTYlIZCythY9CbOwoDE3UcYvUkcx062oznyuO/ldZYp6Y0jfrBmwHuLzedm7zWk9fvJ&#10;qrfmbumet49Pyn3Vdb3W+vJiur0BkXBKfzD86LM6VOy0C3tqo+g1LPKcSQ1KgeD6N+4Yy+dLkFUp&#10;//tX3wAAAP//AwBQSwECLQAUAAYACAAAACEAtoM4kv4AAADhAQAAEwAAAAAAAAAAAAAAAAAAAAAA&#10;W0NvbnRlbnRfVHlwZXNdLnhtbFBLAQItABQABgAIAAAAIQA4/SH/1gAAAJQBAAALAAAAAAAAAAAA&#10;AAAAAC8BAABfcmVscy8ucmVsc1BLAQItABQABgAIAAAAIQDsJq7oOQIAAG0EAAAOAAAAAAAAAAAA&#10;AAAAAC4CAABkcnMvZTJvRG9jLnhtbFBLAQItABQABgAIAAAAIQDHlv+T3AAAAAc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14:paraId="4E14A875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682C" w14:textId="77777777" w:rsidR="0056487B" w:rsidRDefault="0056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2764" w14:textId="77777777" w:rsidR="004F3C79" w:rsidRDefault="004F3C79" w:rsidP="00FB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0523" w14:textId="77777777" w:rsidR="004F3C79" w:rsidRDefault="004F3C79" w:rsidP="00FB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1F970" w14:textId="77777777" w:rsidR="0056487B" w:rsidRDefault="0056487B" w:rsidP="0008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04C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</w:tr>
      <w:tr w:rsidR="0056487B" w14:paraId="2CC0F2DD" w14:textId="77777777" w:rsidTr="0096702F">
        <w:trPr>
          <w:trHeight w:val="8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455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E61B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4BCA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3DC7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DA60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81F9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F2EB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Gravity</w:t>
            </w:r>
          </w:p>
          <w:p w14:paraId="0C74E376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148" w14:textId="77777777" w:rsidR="0056487B" w:rsidRPr="00972DA6" w:rsidRDefault="003A171B" w:rsidP="007E58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E5896" w:rsidRPr="007E5896">
              <w:rPr>
                <w:rFonts w:ascii="Times New Roman" w:hAnsi="Times New Roman" w:cs="Times New Roman"/>
                <w:sz w:val="24"/>
                <w:szCs w:val="24"/>
              </w:rPr>
              <w:t>iolation o</w:t>
            </w:r>
            <w:r w:rsidR="00550F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E5896" w:rsidRPr="007E5896">
              <w:rPr>
                <w:rFonts w:ascii="Times New Roman" w:hAnsi="Times New Roman" w:cs="Times New Roman"/>
                <w:sz w:val="24"/>
                <w:szCs w:val="24"/>
              </w:rPr>
              <w:t xml:space="preserve">curred; however, </w:t>
            </w:r>
            <w:r w:rsidR="001869E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487B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ipeline </w:t>
            </w:r>
            <w:r w:rsidR="00CE3B7E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="0056487B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7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56487B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minimally affected</w:t>
            </w:r>
          </w:p>
          <w:p w14:paraId="693D88EE" w14:textId="27821E30" w:rsidR="001125EA" w:rsidRPr="00972DA6" w:rsidRDefault="003A171B" w:rsidP="00D73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E5896" w:rsidRPr="007E5896">
              <w:rPr>
                <w:rFonts w:ascii="Times New Roman" w:hAnsi="Times New Roman" w:cs="Times New Roman"/>
                <w:sz w:val="24"/>
                <w:szCs w:val="24"/>
              </w:rPr>
              <w:t xml:space="preserve">iolation occurred </w:t>
            </w:r>
            <w:r w:rsidR="00D7309F" w:rsidRPr="00D7309F">
              <w:rPr>
                <w:rFonts w:ascii="Times New Roman" w:hAnsi="Times New Roman" w:cs="Times New Roman"/>
                <w:sz w:val="24"/>
                <w:szCs w:val="24"/>
              </w:rPr>
              <w:t>NOT within a HCA or “could affect” HCA, and NOT within an area required to be covered by a gas distribution system integrity management program</w:t>
            </w:r>
          </w:p>
          <w:p w14:paraId="79667C28" w14:textId="77777777" w:rsidR="007B2BC1" w:rsidRDefault="003A171B" w:rsidP="00A23B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13D32" w:rsidRPr="00952DD4">
              <w:rPr>
                <w:rFonts w:ascii="Times New Roman" w:hAnsi="Times New Roman" w:cs="Times New Roman"/>
                <w:sz w:val="24"/>
                <w:szCs w:val="24"/>
              </w:rPr>
              <w:t xml:space="preserve">iolation occurred </w:t>
            </w:r>
            <w:r w:rsidR="00D7309F" w:rsidRPr="007B2BC1">
              <w:rPr>
                <w:rFonts w:ascii="Times New Roman" w:eastAsia="@PMingLiU" w:hAnsi="Times New Roman" w:cs="Times New Roman"/>
                <w:sz w:val="24"/>
                <w:szCs w:val="24"/>
              </w:rPr>
              <w:t>within a HCA or “could affect” HCA, or within an area required to be covered by a gas distribution system integrity management program</w:t>
            </w:r>
            <w:r w:rsidR="00D7309F" w:rsidRPr="00952DD4" w:rsidDel="00D7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A7672" w14:textId="5EE10415" w:rsidR="00A23BD3" w:rsidRPr="00972DA6" w:rsidRDefault="00A23BD3" w:rsidP="00A23B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iolation increased the severity of an accident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/incident</w:t>
            </w:r>
          </w:p>
          <w:p w14:paraId="1C3754CF" w14:textId="2CB51490" w:rsidR="00855742" w:rsidRPr="00972DA6" w:rsidRDefault="003A171B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6487B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iolation was a causal factor </w:t>
            </w:r>
            <w:r w:rsidR="00D7309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56487B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an accident </w:t>
            </w:r>
            <w:r w:rsidR="005429E4">
              <w:rPr>
                <w:rFonts w:ascii="Times New Roman" w:hAnsi="Times New Roman" w:cs="Times New Roman"/>
                <w:sz w:val="24"/>
                <w:szCs w:val="24"/>
              </w:rPr>
              <w:t>/incident</w:t>
            </w:r>
          </w:p>
          <w:p w14:paraId="11BD3F4D" w14:textId="77777777" w:rsidR="00AF61A2" w:rsidRPr="00972DA6" w:rsidRDefault="00F754AE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04577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he number of </w:t>
            </w:r>
            <w:r w:rsidR="00FD07D0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instances of a </w:t>
            </w:r>
            <w:r w:rsidR="00D04577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violation </w:t>
            </w:r>
            <w:r w:rsidR="00865679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incrementally </w:t>
            </w:r>
            <w:r w:rsidR="00FD07D0" w:rsidRPr="00972DA6">
              <w:rPr>
                <w:rFonts w:ascii="Times New Roman" w:hAnsi="Times New Roman" w:cs="Times New Roman"/>
                <w:sz w:val="24"/>
                <w:szCs w:val="24"/>
              </w:rPr>
              <w:t>increases the penalty</w:t>
            </w:r>
          </w:p>
          <w:p w14:paraId="243225FF" w14:textId="77777777" w:rsidR="0072189F" w:rsidRPr="001125EA" w:rsidRDefault="0072189F" w:rsidP="00F754A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63E1" w14:textId="77777777" w:rsidR="005429E4" w:rsidRDefault="005429E4" w:rsidP="00AF61A2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="00604D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dent/</w:t>
            </w:r>
            <w:r w:rsidR="00AF61A2" w:rsidRPr="001125EA">
              <w:rPr>
                <w:rFonts w:ascii="Times New Roman" w:hAnsi="Times New Roman" w:cs="Times New Roman"/>
                <w:sz w:val="24"/>
                <w:szCs w:val="24"/>
              </w:rPr>
              <w:t xml:space="preserve">Incident Consequences Factor Multipliers </w:t>
            </w:r>
            <w:r w:rsidR="002115E3" w:rsidRPr="001125EA">
              <w:rPr>
                <w:rFonts w:ascii="Times New Roman" w:hAnsi="Times New Roman" w:cs="Times New Roman"/>
                <w:sz w:val="24"/>
                <w:szCs w:val="24"/>
              </w:rPr>
              <w:t xml:space="preserve">for the base penalty </w:t>
            </w:r>
            <w:r w:rsidR="0072189F">
              <w:rPr>
                <w:rFonts w:ascii="Times New Roman" w:hAnsi="Times New Roman" w:cs="Times New Roman"/>
                <w:sz w:val="24"/>
                <w:szCs w:val="24"/>
              </w:rPr>
              <w:t xml:space="preserve">applied </w:t>
            </w:r>
            <w:r w:rsidR="00FC794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72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943">
              <w:rPr>
                <w:rFonts w:ascii="Times New Roman" w:hAnsi="Times New Roman" w:cs="Times New Roman"/>
                <w:sz w:val="24"/>
                <w:szCs w:val="24"/>
              </w:rPr>
              <w:t xml:space="preserve">any and </w:t>
            </w:r>
            <w:r w:rsidR="0072189F">
              <w:rPr>
                <w:rFonts w:ascii="Times New Roman" w:hAnsi="Times New Roman" w:cs="Times New Roman"/>
                <w:sz w:val="24"/>
                <w:szCs w:val="24"/>
              </w:rPr>
              <w:t xml:space="preserve">all assessment considerations: </w:t>
            </w:r>
            <w:r w:rsidR="00AF61A2" w:rsidRPr="00112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84C8A14" w14:textId="77777777" w:rsidR="00AF61A2" w:rsidRPr="005429E4" w:rsidRDefault="00AF61A2" w:rsidP="005429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29E4">
              <w:rPr>
                <w:rFonts w:ascii="Times New Roman" w:hAnsi="Times New Roman" w:cs="Times New Roman"/>
                <w:noProof/>
                <w:sz w:val="24"/>
                <w:szCs w:val="24"/>
              </w:rPr>
              <w:t>Reportable accident or incident</w:t>
            </w:r>
          </w:p>
          <w:p w14:paraId="4B59E4DA" w14:textId="77777777" w:rsidR="005429E4" w:rsidRPr="00972DA6" w:rsidRDefault="005429E4" w:rsidP="005429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nintentionally released Gas</w:t>
            </w:r>
          </w:p>
          <w:p w14:paraId="52AD52E4" w14:textId="77777777" w:rsidR="00AF61A2" w:rsidRPr="00972DA6" w:rsidRDefault="00AF61A2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Hazardous Liquid releases</w:t>
            </w:r>
          </w:p>
          <w:p w14:paraId="5E51CA8B" w14:textId="77777777" w:rsidR="00AF61A2" w:rsidRPr="00972DA6" w:rsidRDefault="005429E4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</w:t>
            </w:r>
            <w:r w:rsidR="00AF61A2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ospitalization injuries</w:t>
            </w:r>
          </w:p>
          <w:p w14:paraId="21185027" w14:textId="3DDB78AC" w:rsidR="008477E2" w:rsidRPr="00261AC8" w:rsidRDefault="005429E4" w:rsidP="00261A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="00AF61A2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atalities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1CA" w14:textId="77777777" w:rsidR="008F21E1" w:rsidRDefault="008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A703" w14:textId="37D47596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E07A7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14:paraId="1B91F5C2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4A306C" wp14:editId="7D35452C">
                      <wp:simplePos x="0" y="0"/>
                      <wp:positionH relativeFrom="column">
                        <wp:posOffset>502418</wp:posOffset>
                      </wp:positionH>
                      <wp:positionV relativeFrom="paragraph">
                        <wp:posOffset>132228</wp:posOffset>
                      </wp:positionV>
                      <wp:extent cx="0" cy="3474720"/>
                      <wp:effectExtent l="76200" t="0" r="57150" b="4953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74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17189E" id="Straight Arrow Connector 32" o:spid="_x0000_s1026" type="#_x0000_t32" style="position:absolute;margin-left:39.55pt;margin-top:10.4pt;width:0;height:273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6BQgIAAHgEAAAOAAAAZHJzL2Uyb0RvYy54bWysVF1v2yAUfZ+0/4B4Tx0n7pcVp6rsZHvo&#10;ukrtfgABHKNhLgIaJ5r233fBadpuL9O0PJAL3Hs493Dw4mbfa7KTziswFc3PppRIw0Eos63ot6f1&#10;5IoSH5gRTIORFT1IT2+WHz8sBlvKGXSghXQEQYwvB1vRLgRbZpnnneyZPwMrDW624HoWcOq2mXBs&#10;QPReZ7Pp9CIbwAnrgEvvcbUZN+ky4bet5OFr23oZiK4ocgtpdGncxDFbLli5dcx2ih9psH9g0TNl&#10;8NATVMMCI89O/QHVK+7AQxvOOPQZtK3iMvWA3eTT37p57JiVqRcUx9uTTP7/wfL73YMjSlR0PqPE&#10;sB7v6DE4prZdILfOwUBqMAZ1BEcwBfUarC+xrDYPLnbM9+bR3gH/7omBumNmKxPvp4NFrDxWZO9K&#10;4sRbPHUzfAGBOew5QBJv37qetFrZz7EwgqNAZJ9u63C6LbkPhI+LHFfnxWVxOUs3mbEyQsRC63z4&#10;JKEnMaioP7Z06mWEZ7s7HyLB14JYbGCttE7W0IYMFb0+n50nPh60EnEzpnm33dTakR2L5kq/1C3u&#10;vE1z8GxEAuskE6tjHJjSGJOQZApOoXBa0nhaLwUlWuJ7itFIT5t4IraOhI/R6K8f19Pr1dXqqpgU&#10;s4vVpJg2zeR2XReTi3V+ed7Mm7pu8p+RfF6UnRJCmsj/xet58XdeOr660aUnt5+Eyt6jJ0WR7Mt/&#10;Ip1cEC9+tNAGxOHBxe6iIdDeKfn4FOP7eTtPWa8fjOUvAAAA//8DAFBLAwQUAAYACAAAACEAJVGK&#10;P90AAAAIAQAADwAAAGRycy9kb3ducmV2LnhtbEyPwU7DMBBE70j8g7VIXBC1G6klhGwqBBROVUUo&#10;dzc2SdR4HcVum/w9Cxc4jmY08yZfja4TJzuE1hPCfKZAWKq8aalG2H2sb1MQIWoyuvNkESYbYFVc&#10;XuQ6M/5M7/ZUxlpwCYVMIzQx9pmUoWqs02Hme0vsffnB6chyqKUZ9JnLXScTpZbS6ZZ4odG9fWps&#10;dSiPDuG53C7Wnze7MZmqt035mh62NL0gXl+Njw8goh3jXxh+8BkdCmba+yOZIDqEu/s5JxESxQ/Y&#10;/9V7hMUyVSCLXP4/UHwDAAD//wMAUEsBAi0AFAAGAAgAAAAhALaDOJL+AAAA4QEAABMAAAAAAAAA&#10;AAAAAAAAAAAAAFtDb250ZW50X1R5cGVzXS54bWxQSwECLQAUAAYACAAAACEAOP0h/9YAAACUAQAA&#10;CwAAAAAAAAAAAAAAAAAvAQAAX3JlbHMvLnJlbHNQSwECLQAUAAYACAAAACEAaLoegUICAAB4BAAA&#10;DgAAAAAAAAAAAAAAAAAuAgAAZHJzL2Uyb0RvYy54bWxQSwECLQAUAAYACAAAACEAJVGKP90AAAAI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14:paraId="498DDAE2" w14:textId="77777777" w:rsidR="0056487B" w:rsidRDefault="0056487B" w:rsidP="00F7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EDE9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ED5F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144D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B00E" w14:textId="77777777" w:rsidR="0056487B" w:rsidRDefault="0056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DA01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5F29" w14:textId="73452833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790B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69F8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3A2B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4CC0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4661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CEE8" w14:textId="77777777" w:rsidR="00533BCB" w:rsidRDefault="0053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61B1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7AC0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6DB1C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A654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A03C" w14:textId="77777777" w:rsidR="007378E8" w:rsidRDefault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EEB9" w14:textId="77777777" w:rsidR="004F3C79" w:rsidRDefault="004F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19DE" w14:textId="77777777" w:rsidR="00855742" w:rsidRDefault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5717" w14:textId="17D4F11C" w:rsidR="00EB1DA1" w:rsidRDefault="00503FDB" w:rsidP="0000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  <w:p w14:paraId="6D331847" w14:textId="77777777" w:rsidR="000045C8" w:rsidRDefault="000045C8" w:rsidP="00FC6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21A9" w14:textId="4478E697" w:rsidR="0056487B" w:rsidRDefault="008638A4" w:rsidP="00FC65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955" w14:paraId="2968FA0F" w14:textId="77777777" w:rsidTr="0096702F">
        <w:trPr>
          <w:trHeight w:val="8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10C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6BC9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E13A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3FF9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D507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2F68" w14:textId="77777777" w:rsidR="00CC4955" w:rsidRDefault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75A8" w14:textId="77777777" w:rsidR="00CC4955" w:rsidRDefault="00CC4955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Culpability</w:t>
            </w:r>
          </w:p>
          <w:p w14:paraId="447D95CF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EFB5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AD80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CA91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BF98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F66D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73A9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FFD8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FF6C" w14:textId="77777777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B90A" w14:textId="77777777" w:rsidR="001F1C95" w:rsidRDefault="001F1C95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3DE1" w14:textId="7620D4DB" w:rsidR="00FC534B" w:rsidRDefault="00FC534B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30E" w14:textId="77777777" w:rsidR="00112777" w:rsidRDefault="00112777" w:rsidP="00A605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Based on operator action</w:t>
            </w:r>
            <w:r w:rsidR="009C48B7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before the violation occurred:</w:t>
            </w:r>
          </w:p>
          <w:p w14:paraId="248BFA0C" w14:textId="596E6FF0" w:rsidR="00CC4955" w:rsidRPr="00972DA6" w:rsidRDefault="00CC4955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After the operator found the non-compliance, the operator took documented action to address the cause of the non-compliance, and corrected the non-compliance before PHMSA learned of the violation. 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Does not apply for</w:t>
            </w:r>
            <w:r w:rsidR="00F4372A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operator Post-accident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/incident enforcement</w:t>
            </w:r>
            <w:r w:rsidR="00F4372A"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actions.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046D69" w14:textId="77777777" w:rsidR="00AA586F" w:rsidRPr="00972DA6" w:rsidRDefault="00CC4955" w:rsidP="001F1C95">
            <w:pPr>
              <w:pStyle w:val="ListParagraph"/>
              <w:numPr>
                <w:ilvl w:val="0"/>
                <w:numId w:val="2"/>
              </w:num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After the operator found the non-compliance, the operator took documented action to address the cause of the non-compliance, and was in the process of correcting the non-compliance before PHMSA learned of the violation. 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Does not apply 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operator Post-accident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/incident enforcement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actions.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E620D3" w14:textId="2B80EA47" w:rsidR="00CC4955" w:rsidRPr="00972DA6" w:rsidRDefault="00CC4955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The operator failed to comply with a</w:t>
            </w:r>
            <w:r w:rsidR="00D7309F">
              <w:rPr>
                <w:rFonts w:ascii="Times New Roman" w:hAnsi="Times New Roman" w:cs="Times New Roman"/>
                <w:sz w:val="24"/>
                <w:szCs w:val="24"/>
              </w:rPr>
              <w:t>n applicable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requirement.</w:t>
            </w:r>
          </w:p>
          <w:p w14:paraId="7C8603A8" w14:textId="10469F73" w:rsidR="00CC4955" w:rsidRPr="00972DA6" w:rsidRDefault="00CC4955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The operator made a 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 xml:space="preserve">deliberate 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decision not to comply with a</w:t>
            </w:r>
            <w:r w:rsidR="00D7309F">
              <w:rPr>
                <w:rFonts w:ascii="Times New Roman" w:hAnsi="Times New Roman" w:cs="Times New Roman"/>
                <w:sz w:val="24"/>
                <w:szCs w:val="24"/>
              </w:rPr>
              <w:t>n applicable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requirement. </w:t>
            </w:r>
          </w:p>
          <w:p w14:paraId="16BDD034" w14:textId="45EB3DFB" w:rsidR="0056163A" w:rsidRPr="0056163A" w:rsidRDefault="00CC4955" w:rsidP="005616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The operator took egregious action (</w:t>
            </w:r>
            <w:r w:rsidR="00EA794B">
              <w:rPr>
                <w:rFonts w:ascii="Times New Roman" w:hAnsi="Times New Roman" w:cs="Times New Roman"/>
                <w:sz w:val="24"/>
                <w:szCs w:val="24"/>
              </w:rPr>
              <w:t xml:space="preserve">examples: 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manipulation of records or reconfiguration of equipment) that evidenced an effort to evade compliance or conceal non-compliance.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C27" w14:textId="77777777" w:rsidR="0056163A" w:rsidRDefault="0056163A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90DB2" w14:textId="57D1E8CC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-$25,920</w:t>
            </w:r>
          </w:p>
          <w:p w14:paraId="29BF1EFC" w14:textId="77777777" w:rsidR="00CC4955" w:rsidRDefault="001F1C9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34E706" wp14:editId="32EE7E50">
                      <wp:simplePos x="0" y="0"/>
                      <wp:positionH relativeFrom="column">
                        <wp:posOffset>499730</wp:posOffset>
                      </wp:positionH>
                      <wp:positionV relativeFrom="paragraph">
                        <wp:posOffset>90805</wp:posOffset>
                      </wp:positionV>
                      <wp:extent cx="0" cy="2651760"/>
                      <wp:effectExtent l="76200" t="0" r="57150" b="5334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51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C0D130" id="Straight Arrow Connector 6" o:spid="_x0000_s1026" type="#_x0000_t32" style="position:absolute;margin-left:39.35pt;margin-top:7.15pt;width:0;height:208.8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zcQAIAAHYEAAAOAAAAZHJzL2Uyb0RvYy54bWysVNFu2yAUfZ+0f0C8p46zxE2tOlVlJ9tD&#10;t1Vq9wEEcIyGuQhonGjav++C07TdXqZpeSAXuPdw7uHg65tDr8leOq/AVDS/mFIiDQehzK6i3x43&#10;kyUlPjAjmAYjK3qUnt6s3r+7HmwpZ9CBFtIRBDG+HGxFuxBsmWWed7Jn/gKsNLjZgutZwKnbZcKx&#10;AdF7nc2m0yIbwAnrgEvvcbUZN+kq4bet5OFr23oZiK4ocgtpdGncxjFbXbNy55jtFD/RYP/AomfK&#10;4KFnqIYFRp6c+gOqV9yBhzZccOgzaFvFZeoBu8mnv3Xz0DErUy8ojrdnmfz/g+Vf9veOKFHRghLD&#10;eryih+CY2nWB3DoHA6nBGJQRHCmiWoP1JRbV5t7FfvnBPNg74N89MVB3zOxkYv14tAiVx4rsTUmc&#10;eItnbofPIDCHPQVI0h1a15NWK/spFkZwlIcc0l0dz3clD4HwcZHj6qxY5JdFuseMlREiFlrnw0cJ&#10;PYlBRf2po3MrIzzb3/kQCb4UxGIDG6V1MoY2ZKjo1WK2SHw8aCXiZkzzbrettSN7Fq2Vfqlb3Hmd&#10;5uDJiATWSSbWpzgwpTEmIckUnELhtKTxtF4KSrTE1xSjkZ428URsHQmfotFdP66mV+vlejmfzGfF&#10;ejKfNs3kdlPPJ8Umv1w0H5q6bvKfkXw+LzslhDSR/7PT8/nfOen05kaPnr1+Fip7i54URbLP/4l0&#10;ckG8+NFCWxDHexe7i4ZAc6fk00OMr+f1PGW9fC5WvwAAAP//AwBQSwMEFAAGAAgAAAAhAIswWI3e&#10;AAAACAEAAA8AAABkcnMvZG93bnJldi54bWxMj81OwzAQhO9IvIO1SL0g6vQHGkKcCpUWTqgilLsb&#10;L0nUeB3Fbpu8PUsvcJyd0ew36bK3jThh52tHCibjCARS4UxNpYLd5+YuBuGDJqMbR6hgQA/L7Poq&#10;1YlxZ/rAUx5KwSXkE62gCqFNpPRFhVb7sWuR2Pt2ndWBZVdK0+kzl9tGTqPoQVpdE3+odIurCotD&#10;frQKXvLt/ebrdtdPh+LtPX+ND1sa1kqNbvrnJxAB+/AXhl98RoeMmfbuSMaLRsEiXnCS7/MZCPYv&#10;eq9gPps8gsxS+X9A9gMAAP//AwBQSwECLQAUAAYACAAAACEAtoM4kv4AAADhAQAAEwAAAAAAAAAA&#10;AAAAAAAAAAAAW0NvbnRlbnRfVHlwZXNdLnhtbFBLAQItABQABgAIAAAAIQA4/SH/1gAAAJQBAAAL&#10;AAAAAAAAAAAAAAAAAC8BAABfcmVscy8ucmVsc1BLAQItABQABgAIAAAAIQAaxMzcQAIAAHYEAAAO&#10;AAAAAAAAAAAAAAAAAC4CAABkcnMvZTJvRG9jLnhtbFBLAQItABQABgAIAAAAIQCLMFiN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14:paraId="241481AA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219D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491E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6EFDF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0E0A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48CF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26095C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F84B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869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9C506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7210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CA574" w14:textId="77777777" w:rsidR="00CC4955" w:rsidRDefault="00CC4955" w:rsidP="0097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4494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E21F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7894" w14:textId="77777777" w:rsidR="00CC4955" w:rsidRDefault="00CC4955" w:rsidP="00C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911C" w14:textId="33AACDD3" w:rsidR="00CC4955" w:rsidRDefault="00CC4955" w:rsidP="0056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A4EE" w14:textId="31E5C81E" w:rsidR="008F21E1" w:rsidRDefault="00503FDB" w:rsidP="008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  <w:p w14:paraId="17B22CAF" w14:textId="6CB5AE08" w:rsidR="002A6DE4" w:rsidRDefault="002A6DE4" w:rsidP="0056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A" w14:paraId="2EED27F1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C0A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0643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Prior Offenses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EE2" w14:textId="77777777" w:rsidR="0014325A" w:rsidRPr="00DF37FD" w:rsidRDefault="0014325A" w:rsidP="00DF37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37FD">
              <w:rPr>
                <w:rFonts w:ascii="Times New Roman" w:hAnsi="Times New Roman" w:cs="Times New Roman"/>
                <w:sz w:val="24"/>
                <w:szCs w:val="24"/>
              </w:rPr>
              <w:t>Prior findings of violation include a civil penalty or compliance order in the five years that precede the date of the Notice.  The prior findings of violation may be the same, similar, or different violations</w:t>
            </w:r>
            <w:r w:rsidR="00F4372A" w:rsidRPr="00DF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612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</w:t>
            </w:r>
          </w:p>
          <w:p w14:paraId="252495CE" w14:textId="77777777" w:rsidR="0014325A" w:rsidRDefault="007A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3E321" wp14:editId="6AE9E504">
                      <wp:simplePos x="0" y="0"/>
                      <wp:positionH relativeFrom="column">
                        <wp:posOffset>513242</wp:posOffset>
                      </wp:positionH>
                      <wp:positionV relativeFrom="paragraph">
                        <wp:posOffset>24130</wp:posOffset>
                      </wp:positionV>
                      <wp:extent cx="0" cy="294005"/>
                      <wp:effectExtent l="76200" t="0" r="57150" b="488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58D60" id="Straight Arrow Connector 1" o:spid="_x0000_s1026" type="#_x0000_t32" style="position:absolute;margin-left:40.4pt;margin-top:1.9pt;width:0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WsNQIAAGsEAAAOAAAAZHJzL2Uyb0RvYy54bWysVMGO2yAQvVfqPyDuWdups02sOKuVnfSy&#10;bSPt9gMIYBsVAwISJ6r67x2wk3bbS1U1BzLAzJs3Mw+vH869RCdundCqxNldihFXVDOh2hJ/ednN&#10;lhg5TxQjUite4gt3+GHz9s16MAWf605Lxi0CEOWKwZS4894USeJox3vi7rThCi4bbXviYWvbhFky&#10;AHovk3ma3ieDtsxYTblzcFqPl3gT8ZuGU/+5aRz3SJYYuPm42rgewpps1qRoLTGdoBMN8g8seiIU&#10;JL1B1cQTdLTiD6heUKudbvwd1X2im0ZQHmuAarL0t2qeO2J4rAWa48ytTe7/wdJPp71FgsHsMFKk&#10;hxE9e0tE23n0aK0eUKWVgjZqi7LQrcG4AoIqtbehXnpWz+ZJ068OKV11RLU8sn65GICKEcmrkLBx&#10;BnIeho+agQ85eh1bd25sHyChKegcJ3S5TYifPaLjIYXT+SpP00Wgk5DiGmes8x+47lEwSuymMm78&#10;s5iFnJ6cHwOvASGp0jshZVSDVGgo8WoxX8QAp6Vg4TK4OdseKmnRiQQ9xd/E4pWb1UfFIljHCdtO&#10;tidCgo187I23ArolOQ7Zes4wkhyeULBGelKFjFA5EJ6sUVLfVulqu9wu81k+v9/O8rSuZ4+7Kp/d&#10;77L3i/pdXVV19j2Qz/KiE4xxFfhf5Z3lfyef6aGNwrwJ/Nao5DV6HAWQvf5H0nH0Ydqjbg6aXfY2&#10;VBdUAIqOztPrC0/m1330+vmN2PwAAAD//wMAUEsDBBQABgAIAAAAIQAV8WF73AAAAAYBAAAPAAAA&#10;ZHJzL2Rvd25yZXYueG1sTI5BS8NAFITvgv9heYI3u6liqDEvRS1iLhZsS/G4za7ZxezbkN22qb/e&#10;pxc9DcMMM185H30nDmaILhDCdJKBMNQE7ahF2Kyfr2YgYlKkVRfIIJxMhHl1flaqQocjvZnDKrWC&#10;RygWCsGm1BdSxsYar+Ik9IY4+wiDV4nt0Eo9qCOP+05eZ1kuvXLED1b15sma5nO19whp8X6y+bZ5&#10;vHPL9ctr7r7qul4gXl6MD/cgkhnTXxl+8BkdKmbahT3pKDqEWcbkCeGGheNfu0O4zaYgq1L+x6++&#10;AQAA//8DAFBLAQItABQABgAIAAAAIQC2gziS/gAAAOEBAAATAAAAAAAAAAAAAAAAAAAAAABbQ29u&#10;dGVudF9UeXBlc10ueG1sUEsBAi0AFAAGAAgAAAAhADj9If/WAAAAlAEAAAsAAAAAAAAAAAAAAAAA&#10;LwEAAF9yZWxzLy5yZWxzUEsBAi0AFAAGAAgAAAAhAMSntaw1AgAAawQAAA4AAAAAAAAAAAAAAAAA&#10;LgIAAGRycy9lMm9Eb2MueG1sUEsBAi0AFAAGAAgAAAAhABXxYXv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14:paraId="0793BD95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A404" w14:textId="77777777" w:rsidR="0014325A" w:rsidRDefault="0014325A" w:rsidP="00F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$17,280</w:t>
            </w:r>
          </w:p>
          <w:p w14:paraId="308D11B5" w14:textId="77777777" w:rsidR="0014325A" w:rsidRDefault="0014325A" w:rsidP="00F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A" w14:paraId="026398BB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490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18440" w14:textId="77777777" w:rsidR="0014325A" w:rsidRDefault="0014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6038" w14:textId="77777777" w:rsidR="00551B81" w:rsidRDefault="0055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71D6F" w14:textId="77777777" w:rsidR="006D666F" w:rsidRDefault="006D666F" w:rsidP="0097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040A" w14:textId="77777777" w:rsidR="0014325A" w:rsidRDefault="0014325A" w:rsidP="0011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Faith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FDF" w14:textId="77777777" w:rsidR="0014325A" w:rsidRDefault="0014325A" w:rsidP="00A605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Based on operator</w:t>
            </w:r>
            <w:r w:rsidR="005434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actions before </w:t>
            </w:r>
            <w:r w:rsidR="0007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PHMSA discovered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violation:</w:t>
            </w:r>
          </w:p>
          <w:p w14:paraId="4D67687D" w14:textId="7AE92E89" w:rsidR="0014325A" w:rsidRPr="00972DA6" w:rsidRDefault="0014325A" w:rsidP="00D73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operator had a </w:t>
            </w:r>
            <w:r w:rsidR="00071474">
              <w:rPr>
                <w:rFonts w:ascii="Times New Roman" w:hAnsi="Times New Roman" w:cs="Times New Roman"/>
                <w:noProof/>
                <w:sz w:val="24"/>
                <w:szCs w:val="24"/>
              </w:rPr>
              <w:t>reasonable</w:t>
            </w:r>
            <w:r w:rsidR="00AB22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justification for its </w:t>
            </w:r>
            <w:r w:rsidR="00071474">
              <w:rPr>
                <w:rFonts w:ascii="Times New Roman" w:hAnsi="Times New Roman" w:cs="Times New Roman"/>
                <w:noProof/>
                <w:sz w:val="24"/>
                <w:szCs w:val="24"/>
              </w:rPr>
              <w:t>non-compliance</w:t>
            </w:r>
            <w:r w:rsidR="00916A0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D730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7309F" w:rsidRPr="00D7309F">
              <w:rPr>
                <w:rFonts w:ascii="Times New Roman" w:hAnsi="Times New Roman" w:cs="Times New Roman"/>
                <w:noProof/>
                <w:sz w:val="24"/>
                <w:szCs w:val="24"/>
              </w:rPr>
              <w:t>(For example, the operator’s interpretation of the requirement was reasonable, or the operator failed to achieve compliance for reasons such as unforeseeable events/conditions that were partly or wholly outside its control.)</w:t>
            </w:r>
          </w:p>
          <w:p w14:paraId="13207262" w14:textId="77777777" w:rsidR="002A6DE4" w:rsidRDefault="0014325A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The operator did not have a </w:t>
            </w:r>
            <w:r w:rsidR="00071474">
              <w:rPr>
                <w:rFonts w:ascii="Times New Roman" w:hAnsi="Times New Roman" w:cs="Times New Roman"/>
                <w:sz w:val="24"/>
                <w:szCs w:val="24"/>
              </w:rPr>
              <w:t>reasonable</w:t>
            </w: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 xml:space="preserve"> justification for its </w:t>
            </w:r>
            <w:r w:rsidR="00071474">
              <w:rPr>
                <w:rFonts w:ascii="Times New Roman" w:hAnsi="Times New Roman" w:cs="Times New Roman"/>
                <w:sz w:val="24"/>
                <w:szCs w:val="24"/>
              </w:rPr>
              <w:t>non-compliance</w:t>
            </w:r>
            <w:r w:rsidR="0091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0CD73" w14:textId="77777777" w:rsidR="00FC14D1" w:rsidRPr="00972DA6" w:rsidRDefault="00FC14D1" w:rsidP="00FC14D1">
            <w:pPr>
              <w:pStyle w:val="ListParagraph"/>
              <w:ind w:left="79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94B" w14:textId="77777777" w:rsidR="008F21E1" w:rsidRDefault="008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6707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-$17,280</w:t>
            </w:r>
          </w:p>
          <w:p w14:paraId="58726E01" w14:textId="77777777" w:rsidR="0014325A" w:rsidRDefault="007A32AD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3D28FF" wp14:editId="130F2F88">
                      <wp:simplePos x="0" y="0"/>
                      <wp:positionH relativeFrom="column">
                        <wp:posOffset>513552</wp:posOffset>
                      </wp:positionH>
                      <wp:positionV relativeFrom="paragraph">
                        <wp:posOffset>25961</wp:posOffset>
                      </wp:positionV>
                      <wp:extent cx="0" cy="1152144"/>
                      <wp:effectExtent l="76200" t="0" r="57150" b="482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E8AF86" id="Straight Arrow Connector 4" o:spid="_x0000_s1026" type="#_x0000_t32" style="position:absolute;margin-left:40.45pt;margin-top:2.05pt;width:0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pOOgIAAGwEAAAOAAAAZHJzL2Uyb0RvYy54bWysVE1v2zAMvQ/YfxB0TxxnTpYadYrCTnbp&#10;1gDtfoAiybEwWRQkNU4w7L+PUj7WbpdhWA4KJZGPj4+Ub+8OvSZ76bwCU9F8PKFEGg5CmV1Fvz6v&#10;RwtKfGBGMA1GVvQoPb1bvn93O9hSTqEDLaQjCGJ8OdiKdiHYMss872TP/BisNHjZgutZwK3bZcKx&#10;AdF7nU0nk3k2gBPWAZfe42lzuqTLhN+2kofHtvUyEF1R5BbS6tK6jWu2vGXlzjHbKX6mwf6BRc+U&#10;waRXqIYFRl6c+gOqV9yBhzaMOfQZtK3iMtWA1eST36p56piVqRYUx9urTP7/wfIv+40jSlS0oMSw&#10;Hlv0FBxTuy6Qe+dgIDUYgzKCI0VUa7C+xKDabFyslx/Mk30A/s0TA3XHzE4m1s9Hi1B5jMjehMSN&#10;t5hzO3wGgT7sJUCS7tC6PkKiKOSQOnS8dkgeAuGnQ46neT6b5kXik7HyEmidD58k9CQaFfXnOq4F&#10;5CkN2z/4EGmx8hIQsxpYK63TOGhDhorezKazFOBBKxEvo5t3u22tHdmzOFDpl2rEm9duDl6MSGCd&#10;ZGJ1tgNTGm0SkjjBKZRLSxqz9VJQoiW+oWid6GkTM2LpSPhsnWbq+83kZrVYLYpRMZ2vRsWkaUb3&#10;67oYzdf5x1nzoanrJv8RyedF2SkhpIn8L/OdF383P+eXdprM64RfhcreoidFkezlP5FOvY/tPg3O&#10;FsRx42J1cQxwpJPz+fnFN/N6n7x+fSSWPwEAAP//AwBQSwMEFAAGAAgAAAAhAI+MievdAAAABwEA&#10;AA8AAABkcnMvZG93bnJldi54bWxMjsFOwzAQRO9I/IO1SNyoU0SjNMSpgAqRC5VoUdWjGy+JRbyO&#10;YrdN+XoWLnAczdPMKxaj68QRh2A9KZhOEhBItTeWGgXvm+ebDESImozuPKGCMwZYlJcXhc6NP9Eb&#10;HtexETxCIdcK2hj7XMpQt+h0mPgeibsPPzgdOQ6NNIM+8bjr5G2SpNJpS/zQ6h6fWqw/1wenIC53&#10;5zbd1o9zu9q8vKb2q6qqpVLXV+PDPYiIY/yD4Uef1aFkp70/kAmiU5AlcyYV3E1BcP0b94xlsxnI&#10;spD//ctvAAAA//8DAFBLAQItABQABgAIAAAAIQC2gziS/gAAAOEBAAATAAAAAAAAAAAAAAAAAAAA&#10;AABbQ29udGVudF9UeXBlc10ueG1sUEsBAi0AFAAGAAgAAAAhADj9If/WAAAAlAEAAAsAAAAAAAAA&#10;AAAAAAAALwEAAF9yZWxzLy5yZWxzUEsBAi0AFAAGAAgAAAAhAMviek46AgAAbAQAAA4AAAAAAAAA&#10;AAAAAAAALgIAAGRycy9lMm9Eb2MueG1sUEsBAi0AFAAGAAgAAAAhAI+MievdAAAABw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14:paraId="38F2FCF2" w14:textId="77777777" w:rsidR="0014325A" w:rsidRDefault="0014325A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AEEC" w14:textId="77777777" w:rsidR="007A32AD" w:rsidRDefault="007A32AD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79DC" w14:textId="77777777" w:rsidR="007A32AD" w:rsidRDefault="007A32AD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707C" w14:textId="77777777" w:rsidR="00EB1DA1" w:rsidRDefault="00EB1DA1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4E5B" w14:textId="77777777" w:rsidR="00EB1DA1" w:rsidRDefault="00EB1DA1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D9218" w14:textId="77777777" w:rsidR="00EB1DA1" w:rsidRDefault="00EB1DA1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DCDD" w14:textId="3968AA64" w:rsidR="0014325A" w:rsidRDefault="0014325A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</w:t>
            </w:r>
          </w:p>
          <w:p w14:paraId="74C9F25C" w14:textId="77777777" w:rsidR="0014325A" w:rsidRDefault="0014325A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A" w14:paraId="421511B0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13A" w14:textId="77777777" w:rsidR="00AA586F" w:rsidRDefault="00AA586F" w:rsidP="0097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36C1" w14:textId="77777777" w:rsidR="00AA586F" w:rsidRDefault="00A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5BF0" w14:textId="77777777" w:rsidR="006D666F" w:rsidRDefault="006D666F" w:rsidP="00FC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C727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Matters as Justice May Require</w:t>
            </w:r>
          </w:p>
          <w:p w14:paraId="395BE927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49AC" w14:textId="77777777" w:rsidR="0014325A" w:rsidRDefault="0014325A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(Any and all appropriate factors will be applied to the violation)</w:t>
            </w:r>
          </w:p>
          <w:p w14:paraId="7073106A" w14:textId="77777777" w:rsidR="00FC534B" w:rsidRDefault="00FC534B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B6E9" w14:textId="77777777" w:rsidR="00FC534B" w:rsidRDefault="00FC534B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BA9F" w14:textId="77777777" w:rsidR="00FC534B" w:rsidRDefault="00FC534B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4586" w14:textId="77777777" w:rsidR="00FC534B" w:rsidRDefault="00FC534B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DE8E" w14:textId="3D5E1940" w:rsidR="00FC534B" w:rsidRPr="00406FEC" w:rsidRDefault="00FC534B" w:rsidP="0040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BE5" w14:textId="77777777" w:rsidR="00855742" w:rsidRPr="000C332E" w:rsidRDefault="0014325A" w:rsidP="00972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332E">
              <w:rPr>
                <w:rFonts w:ascii="Times New Roman" w:hAnsi="Times New Roman" w:cs="Times New Roman"/>
                <w:noProof/>
                <w:sz w:val="24"/>
                <w:szCs w:val="24"/>
              </w:rPr>
              <w:t>Examples</w:t>
            </w:r>
            <w:r w:rsidR="007750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of individual </w:t>
            </w:r>
            <w:r w:rsidR="00FC79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Other </w:t>
            </w:r>
            <w:r w:rsidR="0077504F">
              <w:rPr>
                <w:rFonts w:ascii="Times New Roman" w:hAnsi="Times New Roman" w:cs="Times New Roman"/>
                <w:noProof/>
                <w:sz w:val="24"/>
                <w:szCs w:val="24"/>
              </w:rPr>
              <w:t>Matters</w:t>
            </w:r>
            <w:r w:rsidR="00FC79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 Justice May Require</w:t>
            </w:r>
            <w:r w:rsidRPr="000C332E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7D145D68" w14:textId="77777777" w:rsidR="0014325A" w:rsidRPr="009C48B7" w:rsidRDefault="0014325A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sz w:val="24"/>
                <w:szCs w:val="24"/>
              </w:rPr>
              <w:t>Operator's written procedures exceeded a regulatory requirement and the non-compliance was against the requirements of the procedure that exceeded the regulation</w:t>
            </w:r>
            <w:r w:rsidR="0040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DA6" w:rsidDel="003E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047FC" w14:textId="77777777" w:rsidR="009D5522" w:rsidRPr="009D5522" w:rsidRDefault="009D5522" w:rsidP="009D55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D5522">
              <w:rPr>
                <w:rFonts w:ascii="Times New Roman" w:hAnsi="Times New Roman" w:cs="Times New Roman"/>
                <w:sz w:val="24"/>
                <w:szCs w:val="24"/>
              </w:rPr>
              <w:t>iolation of Section 60129, Protection of employees providing pipeline safety info</w:t>
            </w:r>
            <w:r w:rsidR="009034BD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</w:p>
          <w:p w14:paraId="4FE642EC" w14:textId="77777777" w:rsidR="008F21E1" w:rsidRPr="00972DA6" w:rsidRDefault="00865679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Reporting- </w:t>
            </w:r>
            <w:r w:rsidR="0014325A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Not reporting a known death with a telephonic or accident/incident report; Not reporting </w:t>
            </w:r>
            <w:r w:rsidR="00855742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</w:t>
            </w:r>
            <w:r w:rsidR="0014325A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known report</w:t>
            </w:r>
            <w:r w:rsidR="009034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able injury </w:t>
            </w:r>
            <w:r w:rsidR="00A651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or release &gt;238 bbls </w:t>
            </w:r>
            <w:r w:rsidR="0014325A"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in water with a telephonic or accident/incident report; Telephonic or accident/incident report not submitted before PHMSA discovers it was not submitted</w:t>
            </w:r>
            <w:r w:rsidR="00406FE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4FA2304D" w14:textId="77777777" w:rsidR="009D5522" w:rsidRPr="009D5522" w:rsidRDefault="0014325A" w:rsidP="009D55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5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Additional penalty for LNG violation per (190.223(c)) </w:t>
            </w:r>
          </w:p>
          <w:p w14:paraId="23C6F827" w14:textId="77777777" w:rsidR="00406FEC" w:rsidRPr="00972DA6" w:rsidRDefault="009C48B7" w:rsidP="00972D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Repeat Violation</w:t>
            </w:r>
          </w:p>
          <w:p w14:paraId="3A00EB61" w14:textId="77777777" w:rsidR="009C48B7" w:rsidRDefault="0014325A" w:rsidP="00FC14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noProof/>
                <w:sz w:val="24"/>
                <w:szCs w:val="24"/>
              </w:rPr>
              <w:t>Repe</w:t>
            </w:r>
            <w:r w:rsidR="009C48B7">
              <w:rPr>
                <w:rFonts w:ascii="Times New Roman" w:hAnsi="Times New Roman" w:cs="Times New Roman"/>
                <w:noProof/>
                <w:sz w:val="24"/>
                <w:szCs w:val="24"/>
              </w:rPr>
              <w:t>at of a Repeat Violation</w:t>
            </w:r>
          </w:p>
          <w:p w14:paraId="232AB807" w14:textId="57F05530" w:rsidR="0038439E" w:rsidRPr="00FC14D1" w:rsidRDefault="0038439E" w:rsidP="0038439E">
            <w:pPr>
              <w:pStyle w:val="ListParagraph"/>
              <w:ind w:left="79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F70" w14:textId="77777777" w:rsidR="001C0F8E" w:rsidRDefault="001C0F8E" w:rsidP="0097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5CAF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-$17,280</w:t>
            </w:r>
          </w:p>
          <w:p w14:paraId="73EF8CF9" w14:textId="6ED11E70" w:rsidR="0014325A" w:rsidRDefault="00EB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643B3" wp14:editId="6A995612">
                      <wp:simplePos x="0" y="0"/>
                      <wp:positionH relativeFrom="column">
                        <wp:posOffset>513404</wp:posOffset>
                      </wp:positionH>
                      <wp:positionV relativeFrom="paragraph">
                        <wp:posOffset>53975</wp:posOffset>
                      </wp:positionV>
                      <wp:extent cx="0" cy="2276856"/>
                      <wp:effectExtent l="76200" t="0" r="57150" b="4762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6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5FF1C9" id="Straight Arrow Connector 20" o:spid="_x0000_s1026" type="#_x0000_t32" style="position:absolute;margin-left:40.45pt;margin-top:4.25pt;width:0;height:1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vbOgIAAG4EAAAOAAAAZHJzL2Uyb0RvYy54bWysVMFu2zAMvQ/YPwi6p469JE2NOkVhJ7t0&#10;a4F2H6BIcixMFgVJjRMM+/dRipOt22UYloNCSeTj4yPl27tDr8leOq/AVDS/mlIiDQehzK6iX142&#10;kyUlPjAjmAYjK3qUnt6t3r+7HWwpC+hAC+kIghhfDraiXQi2zDLPO9kzfwVWGrxswfUs4NbtMuHY&#10;gOi9zorpdJEN4IR1wKX3eNqcLukq4bet5OGxbb0MRFcUuYW0urRu45qtblm5c8x2io802D+w6Jky&#10;mPQC1bDAyKtTf0D1ijvw0IYrDn0Gbau4TDVgNfn0t2qeO2ZlqgXF8fYik/9/sPzz/skRJSpaoDyG&#10;9dij5+CY2nWB3DsHA6nBGNQRHEEX1GuwvsSw2jy5WDE/mGf7APyrJwbqjpmdTLxfjhax8hiRvQmJ&#10;G28x63b4BAJ92GuAJN6hdX2ERFnIIfXoeOmRPATCT4ccT4vierGcLxI6K8+B1vnwUUJPolFRPxZy&#10;qSBPadj+wYdIi5XngJjVwEZpnQZCGzJU9GZezFOAB61EvIxu3u22tXZkz+JIpd/I4o2bg1cjElgn&#10;mViPdmBKo01CEic4hXJpSWO2XgpKtMRXFK0TPW1iRiwdCY/Waaq+3Uxv1sv1cjaZFYv1ZDZtmsn9&#10;pp5NFpv8et58aOq6yb9H8vms7JQQ0kT+5wnPZ383QeNbO83mZcYvQmVv0ZOiSPb8n0in3sd2nwZn&#10;C+L45GJ1cQxwqJPz+ADjq/l1n7x+fiZWPwAAAP//AwBQSwMEFAAGAAgAAAAhAIeRFb/dAAAABwEA&#10;AA8AAABkcnMvZG93bnJldi54bWxMjsFOwzAQRO9I/IO1SNyoUxChDXEqoELkUiRahDi68RJbxOso&#10;dtuUr2fhAqfRaEYzr1yMvhN7HKILpGA6yUAgNcE4ahW8bh4vZiBi0mR0FwgVHDHCojo9KXVhwoFe&#10;cL9OreARioVWYFPqCyljY9HrOAk9EmcfYfA6sR1aaQZ94HHfycssy6XXjvjB6h4fLDaf651XkJbv&#10;R5u/Nfdz97x5WuXuq67rpVLnZ+PdLYiEY/orww8+o0PFTNuwIxNFp2CWzbnJeg2C41+7VXCV30xB&#10;VqX8z199AwAA//8DAFBLAQItABQABgAIAAAAIQC2gziS/gAAAOEBAAATAAAAAAAAAAAAAAAAAAAA&#10;AABbQ29udGVudF9UeXBlc10ueG1sUEsBAi0AFAAGAAgAAAAhADj9If/WAAAAlAEAAAsAAAAAAAAA&#10;AAAAAAAALwEAAF9yZWxzLy5yZWxzUEsBAi0AFAAGAAgAAAAhAEyh+9s6AgAAbgQAAA4AAAAAAAAA&#10;AAAAAAAALgIAAGRycy9lMm9Eb2MueG1sUEsBAi0AFAAGAAgAAAAhAIeRFb/dAAAABw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14:paraId="48001FC6" w14:textId="2BFEF386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B763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1D3F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A9EA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6068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4CEC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DD17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8FA6" w14:textId="77777777" w:rsidR="0014325A" w:rsidRDefault="001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BA68" w14:textId="77777777" w:rsidR="0014325A" w:rsidRDefault="0014325A" w:rsidP="0073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FF38" w14:textId="3451AD8A" w:rsidR="0014325A" w:rsidRDefault="0014325A" w:rsidP="000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61B9" w14:textId="6460C0D5" w:rsidR="000045C8" w:rsidRDefault="000045C8" w:rsidP="000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A848" w14:textId="77777777" w:rsidR="000045C8" w:rsidRDefault="000045C8" w:rsidP="000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0693" w14:textId="77777777" w:rsidR="0014325A" w:rsidRDefault="0014325A" w:rsidP="000E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48BA" w14:textId="143EB47F" w:rsidR="0014325A" w:rsidRDefault="00503FDB" w:rsidP="007F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  <w:p w14:paraId="3288B85A" w14:textId="77777777" w:rsidR="008F21E1" w:rsidRDefault="008F21E1" w:rsidP="0097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7B" w14:paraId="21780702" w14:textId="77777777" w:rsidTr="0096702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13B" w14:textId="77777777" w:rsidR="002A6DE4" w:rsidRDefault="00BB4C72" w:rsidP="002A6D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Economic Benefit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B88" w14:textId="77777777" w:rsidR="0056487B" w:rsidRPr="00DF37FD" w:rsidRDefault="00AE230D" w:rsidP="00DF37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>Economic Benefit gained from not complying with the regulation</w:t>
            </w:r>
            <w:r w:rsidR="00406FEC"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E35" w14:textId="77777777" w:rsidR="0056487B" w:rsidRDefault="00533BCB" w:rsidP="00533B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Variable addition</w:t>
            </w:r>
          </w:p>
          <w:p w14:paraId="0F14867C" w14:textId="77777777" w:rsidR="00F4372A" w:rsidRDefault="00F4372A" w:rsidP="0053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7B" w14:paraId="0A4A1D51" w14:textId="77777777" w:rsidTr="0056487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A7E7" w14:textId="294055B7" w:rsidR="0056487B" w:rsidRDefault="0057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</w:t>
            </w:r>
            <w:r w:rsidR="0056487B">
              <w:rPr>
                <w:rFonts w:ascii="Times New Roman" w:hAnsi="Times New Roman" w:cs="Times New Roman"/>
                <w:sz w:val="24"/>
                <w:szCs w:val="24"/>
              </w:rPr>
              <w:t>Continue in Business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0A07" w14:textId="3B57A087" w:rsidR="0056487B" w:rsidRPr="00DF37FD" w:rsidRDefault="0056487B" w:rsidP="00DF37F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>Determin</w:t>
            </w:r>
            <w:r w:rsidR="00BB4C72"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ation </w:t>
            </w:r>
            <w:r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>based on additional information</w:t>
            </w:r>
            <w:r w:rsidR="00577E4A"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that is</w:t>
            </w:r>
            <w:r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presented </w:t>
            </w:r>
            <w:r w:rsidR="00577E4A"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later </w:t>
            </w:r>
            <w:r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>by operator</w:t>
            </w:r>
            <w:r w:rsidR="008F21E1" w:rsidRPr="00DF37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424A8D4" w14:textId="77777777" w:rsidR="00577E4A" w:rsidRPr="00972DA6" w:rsidRDefault="00577E4A" w:rsidP="00972DA6">
            <w:pPr>
              <w:ind w:left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147" w14:textId="77777777" w:rsidR="008F21E1" w:rsidRDefault="008F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167A" w14:textId="77777777" w:rsidR="0056487B" w:rsidRDefault="0053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credit</w:t>
            </w:r>
          </w:p>
        </w:tc>
      </w:tr>
    </w:tbl>
    <w:p w14:paraId="58535B7B" w14:textId="77777777" w:rsidR="0056487B" w:rsidRDefault="0056487B" w:rsidP="0056487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FCB2" w14:textId="65BCDA1C" w:rsidR="00627AD9" w:rsidRDefault="00CC4955" w:rsidP="004E5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6487B">
        <w:rPr>
          <w:rFonts w:ascii="Times New Roman" w:hAnsi="Times New Roman" w:cs="Times New Roman"/>
          <w:sz w:val="24"/>
          <w:szCs w:val="24"/>
        </w:rPr>
        <w:t>total civil penalty per violation is calculated based on these assessment considerations and adjusted for the applicable daily and series limit.  If a calculated penalty exceeds the maximum amount permitted by statute, the penalty will be reduced by the amount exceeding the cap</w:t>
      </w:r>
      <w:r w:rsidR="0056487B" w:rsidRPr="004F51B1">
        <w:rPr>
          <w:rFonts w:ascii="Times New Roman" w:hAnsi="Times New Roman" w:cs="Times New Roman"/>
          <w:sz w:val="24"/>
          <w:szCs w:val="24"/>
        </w:rPr>
        <w:t xml:space="preserve">.  </w:t>
      </w:r>
      <w:r w:rsidR="00B65324" w:rsidRPr="004F51B1">
        <w:rPr>
          <w:rFonts w:ascii="Times New Roman" w:hAnsi="Times New Roman" w:cs="Times New Roman"/>
          <w:sz w:val="24"/>
          <w:szCs w:val="24"/>
        </w:rPr>
        <w:t xml:space="preserve">As of </w:t>
      </w:r>
      <w:r w:rsidR="003A6E50">
        <w:rPr>
          <w:rFonts w:ascii="Times New Roman" w:hAnsi="Times New Roman" w:cs="Times New Roman"/>
          <w:sz w:val="24"/>
          <w:szCs w:val="24"/>
        </w:rPr>
        <w:t xml:space="preserve">November 27, 2018, </w:t>
      </w:r>
      <w:r w:rsidR="00B65324" w:rsidRPr="004F51B1">
        <w:rPr>
          <w:rFonts w:ascii="Times New Roman" w:hAnsi="Times New Roman" w:cs="Times New Roman"/>
          <w:sz w:val="24"/>
          <w:szCs w:val="24"/>
        </w:rPr>
        <w:t>under 49 U.S.C. § 60122 and 49 CFR § 190.223, operators are subject to a civil penalty not to exceed $2</w:t>
      </w:r>
      <w:r w:rsidR="003A6E50">
        <w:rPr>
          <w:rFonts w:ascii="Times New Roman" w:hAnsi="Times New Roman" w:cs="Times New Roman"/>
          <w:sz w:val="24"/>
          <w:szCs w:val="24"/>
        </w:rPr>
        <w:t xml:space="preserve">13,268 </w:t>
      </w:r>
      <w:r w:rsidR="00B65324" w:rsidRPr="004F51B1">
        <w:rPr>
          <w:rFonts w:ascii="Times New Roman" w:hAnsi="Times New Roman" w:cs="Times New Roman"/>
          <w:sz w:val="24"/>
          <w:szCs w:val="24"/>
        </w:rPr>
        <w:t>per violation per day the violation persists up to a maximum of $2,</w:t>
      </w:r>
      <w:r w:rsidR="003A6E50" w:rsidRPr="003A6E50">
        <w:rPr>
          <w:rFonts w:ascii="Times New Roman" w:hAnsi="Times New Roman" w:cs="Times New Roman"/>
          <w:sz w:val="24"/>
          <w:szCs w:val="24"/>
        </w:rPr>
        <w:t>132,679</w:t>
      </w:r>
      <w:r w:rsidR="003A6E50">
        <w:rPr>
          <w:rFonts w:ascii="Times New Roman" w:hAnsi="Times New Roman" w:cs="Times New Roman"/>
          <w:sz w:val="24"/>
          <w:szCs w:val="24"/>
        </w:rPr>
        <w:t xml:space="preserve"> </w:t>
      </w:r>
      <w:r w:rsidR="00B65324" w:rsidRPr="004F51B1">
        <w:rPr>
          <w:rFonts w:ascii="Times New Roman" w:hAnsi="Times New Roman" w:cs="Times New Roman"/>
          <w:sz w:val="24"/>
          <w:szCs w:val="24"/>
        </w:rPr>
        <w:t xml:space="preserve">for a related series of violations </w:t>
      </w:r>
      <w:r w:rsidR="00865679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330F38">
        <w:rPr>
          <w:rFonts w:ascii="Times New Roman" w:hAnsi="Times New Roman" w:cs="Times New Roman"/>
          <w:sz w:val="24"/>
          <w:szCs w:val="24"/>
        </w:rPr>
        <w:t xml:space="preserve">the requirements of </w:t>
      </w:r>
      <w:r w:rsidR="00330F38" w:rsidRPr="00330F38">
        <w:rPr>
          <w:rFonts w:ascii="Times New Roman" w:hAnsi="Times New Roman" w:cs="Times New Roman"/>
          <w:sz w:val="24"/>
          <w:szCs w:val="24"/>
        </w:rPr>
        <w:t>Section 701 of the ‘‘Federal Civil</w:t>
      </w:r>
      <w:r w:rsidR="00330F38">
        <w:rPr>
          <w:rFonts w:ascii="Times New Roman" w:hAnsi="Times New Roman" w:cs="Times New Roman"/>
          <w:sz w:val="24"/>
          <w:szCs w:val="24"/>
        </w:rPr>
        <w:t xml:space="preserve"> </w:t>
      </w:r>
      <w:r w:rsidR="00330F38" w:rsidRPr="00330F38">
        <w:rPr>
          <w:rFonts w:ascii="Times New Roman" w:hAnsi="Times New Roman" w:cs="Times New Roman"/>
          <w:sz w:val="24"/>
          <w:szCs w:val="24"/>
        </w:rPr>
        <w:t>Penalties Inflation Adjustment Act</w:t>
      </w:r>
      <w:r w:rsidR="00330F38">
        <w:rPr>
          <w:rFonts w:ascii="Times New Roman" w:hAnsi="Times New Roman" w:cs="Times New Roman"/>
          <w:sz w:val="24"/>
          <w:szCs w:val="24"/>
        </w:rPr>
        <w:t xml:space="preserve"> </w:t>
      </w:r>
      <w:r w:rsidR="00330F38" w:rsidRPr="00330F38">
        <w:rPr>
          <w:rFonts w:ascii="Times New Roman" w:hAnsi="Times New Roman" w:cs="Times New Roman"/>
          <w:sz w:val="24"/>
          <w:szCs w:val="24"/>
        </w:rPr>
        <w:t>Improvements Act of 2015’’ (Pub. L.114–72)</w:t>
      </w:r>
      <w:r w:rsidR="00E208D0">
        <w:rPr>
          <w:rFonts w:ascii="Times New Roman" w:hAnsi="Times New Roman" w:cs="Times New Roman"/>
          <w:sz w:val="24"/>
          <w:szCs w:val="24"/>
        </w:rPr>
        <w:t xml:space="preserve">, which </w:t>
      </w:r>
      <w:r w:rsidR="00330F38" w:rsidRPr="00330F38">
        <w:rPr>
          <w:rFonts w:ascii="Times New Roman" w:hAnsi="Times New Roman" w:cs="Times New Roman"/>
          <w:sz w:val="24"/>
          <w:szCs w:val="24"/>
        </w:rPr>
        <w:t>amended the</w:t>
      </w:r>
      <w:r w:rsidR="00330F38">
        <w:rPr>
          <w:rFonts w:ascii="Times New Roman" w:hAnsi="Times New Roman" w:cs="Times New Roman"/>
          <w:sz w:val="24"/>
          <w:szCs w:val="24"/>
        </w:rPr>
        <w:t xml:space="preserve"> </w:t>
      </w:r>
      <w:r w:rsidR="00330F38" w:rsidRPr="00330F38">
        <w:rPr>
          <w:rFonts w:ascii="Times New Roman" w:hAnsi="Times New Roman" w:cs="Times New Roman"/>
          <w:sz w:val="24"/>
          <w:szCs w:val="24"/>
        </w:rPr>
        <w:t>‘‘Federal Civil Penalties Inflation</w:t>
      </w:r>
      <w:r w:rsidR="00330F38">
        <w:rPr>
          <w:rFonts w:ascii="Times New Roman" w:hAnsi="Times New Roman" w:cs="Times New Roman"/>
          <w:sz w:val="24"/>
          <w:szCs w:val="24"/>
        </w:rPr>
        <w:t xml:space="preserve"> </w:t>
      </w:r>
      <w:r w:rsidR="00330F38" w:rsidRPr="00330F38">
        <w:rPr>
          <w:rFonts w:ascii="Times New Roman" w:hAnsi="Times New Roman" w:cs="Times New Roman"/>
          <w:sz w:val="24"/>
          <w:szCs w:val="24"/>
        </w:rPr>
        <w:t>Adjustment Act of 1990’’ (Pub. L. 101–410) (Inflation Adjustment Act)</w:t>
      </w:r>
      <w:r w:rsidR="00560683">
        <w:rPr>
          <w:rFonts w:ascii="Times New Roman" w:hAnsi="Times New Roman" w:cs="Times New Roman"/>
          <w:sz w:val="24"/>
          <w:szCs w:val="24"/>
        </w:rPr>
        <w:t>.</w:t>
      </w:r>
    </w:p>
    <w:p w14:paraId="4F891726" w14:textId="77777777" w:rsidR="00CB0868" w:rsidRDefault="00CB0868" w:rsidP="004E5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9E884" w14:textId="77777777" w:rsidR="00CB0868" w:rsidRDefault="00CB0868" w:rsidP="00AC7A5B">
      <w:pPr>
        <w:spacing w:after="0"/>
      </w:pPr>
    </w:p>
    <w:sectPr w:rsidR="00CB08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AEA1" w14:textId="77777777" w:rsidR="00C31607" w:rsidRDefault="00C31607" w:rsidP="0056487B">
      <w:pPr>
        <w:spacing w:after="0" w:line="240" w:lineRule="auto"/>
      </w:pPr>
      <w:r>
        <w:separator/>
      </w:r>
    </w:p>
  </w:endnote>
  <w:endnote w:type="continuationSeparator" w:id="0">
    <w:p w14:paraId="60F8FB8D" w14:textId="77777777" w:rsidR="00C31607" w:rsidRDefault="00C31607" w:rsidP="0056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CD99" w14:textId="77777777" w:rsidR="00C31607" w:rsidRDefault="00C31607" w:rsidP="0056487B">
      <w:pPr>
        <w:spacing w:after="0" w:line="240" w:lineRule="auto"/>
      </w:pPr>
      <w:r>
        <w:separator/>
      </w:r>
    </w:p>
  </w:footnote>
  <w:footnote w:type="continuationSeparator" w:id="0">
    <w:p w14:paraId="34873358" w14:textId="77777777" w:rsidR="00C31607" w:rsidRDefault="00C31607" w:rsidP="0056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11CE" w14:textId="16888DE1" w:rsidR="00E52FDA" w:rsidRDefault="006F187A" w:rsidP="00761D81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="003A6E50">
      <w:rPr>
        <w:rFonts w:ascii="Times New Roman" w:hAnsi="Times New Roman" w:cs="Times New Roman"/>
        <w:sz w:val="24"/>
        <w:szCs w:val="24"/>
      </w:rPr>
      <w:t>/</w:t>
    </w:r>
    <w:r w:rsidR="00503FDB">
      <w:rPr>
        <w:rFonts w:ascii="Times New Roman" w:hAnsi="Times New Roman" w:cs="Times New Roman"/>
        <w:sz w:val="24"/>
        <w:szCs w:val="24"/>
      </w:rPr>
      <w:t>25</w:t>
    </w:r>
    <w:r w:rsidR="003A6E50">
      <w:rPr>
        <w:rFonts w:ascii="Times New Roman" w:hAnsi="Times New Roman" w:cs="Times New Roman"/>
        <w:sz w:val="24"/>
        <w:szCs w:val="24"/>
      </w:rPr>
      <w:t>/201</w:t>
    </w:r>
    <w:r>
      <w:rPr>
        <w:rFonts w:ascii="Times New Roman" w:hAnsi="Times New Roman" w:cs="Times New Roman"/>
        <w:sz w:val="24"/>
        <w:szCs w:val="24"/>
      </w:rPr>
      <w:t>9</w:t>
    </w:r>
  </w:p>
  <w:p w14:paraId="2764BFC3" w14:textId="77777777" w:rsidR="00E52FDA" w:rsidRDefault="00E52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E9B"/>
    <w:multiLevelType w:val="hybridMultilevel"/>
    <w:tmpl w:val="6AB8828E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B5D5826"/>
    <w:multiLevelType w:val="hybridMultilevel"/>
    <w:tmpl w:val="E15ABBCE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6DF36CD"/>
    <w:multiLevelType w:val="hybridMultilevel"/>
    <w:tmpl w:val="0840D60E"/>
    <w:lvl w:ilvl="0" w:tplc="6D666A96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36FE6A87"/>
    <w:multiLevelType w:val="hybridMultilevel"/>
    <w:tmpl w:val="0BC261DE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0B733A8"/>
    <w:multiLevelType w:val="hybridMultilevel"/>
    <w:tmpl w:val="13EA4262"/>
    <w:lvl w:ilvl="0" w:tplc="6D666A96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4783E2C"/>
    <w:multiLevelType w:val="hybridMultilevel"/>
    <w:tmpl w:val="D35026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26C12F8"/>
    <w:multiLevelType w:val="hybridMultilevel"/>
    <w:tmpl w:val="F5BA655E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96A59A0"/>
    <w:multiLevelType w:val="hybridMultilevel"/>
    <w:tmpl w:val="3D36A86C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F05585F"/>
    <w:multiLevelType w:val="hybridMultilevel"/>
    <w:tmpl w:val="1D944058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9C96B85"/>
    <w:multiLevelType w:val="hybridMultilevel"/>
    <w:tmpl w:val="118C8E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9E222F5"/>
    <w:multiLevelType w:val="hybridMultilevel"/>
    <w:tmpl w:val="B3C06658"/>
    <w:lvl w:ilvl="0" w:tplc="6D666A96">
      <w:numFmt w:val="bullet"/>
      <w:lvlText w:val="-"/>
      <w:lvlJc w:val="left"/>
      <w:pPr>
        <w:ind w:left="11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E"/>
    <w:rsid w:val="00000F1E"/>
    <w:rsid w:val="000045C8"/>
    <w:rsid w:val="00005A8A"/>
    <w:rsid w:val="000065A0"/>
    <w:rsid w:val="0001382E"/>
    <w:rsid w:val="00013D32"/>
    <w:rsid w:val="00020DF4"/>
    <w:rsid w:val="000266B0"/>
    <w:rsid w:val="00027566"/>
    <w:rsid w:val="0003259D"/>
    <w:rsid w:val="00071474"/>
    <w:rsid w:val="000847DB"/>
    <w:rsid w:val="0008704C"/>
    <w:rsid w:val="00093573"/>
    <w:rsid w:val="000B46B6"/>
    <w:rsid w:val="000B4D0A"/>
    <w:rsid w:val="000B5901"/>
    <w:rsid w:val="000C332E"/>
    <w:rsid w:val="000C3818"/>
    <w:rsid w:val="000E2637"/>
    <w:rsid w:val="000E7F3E"/>
    <w:rsid w:val="000F3E9D"/>
    <w:rsid w:val="0010348F"/>
    <w:rsid w:val="00104B3F"/>
    <w:rsid w:val="00105AB3"/>
    <w:rsid w:val="001125EA"/>
    <w:rsid w:val="00112777"/>
    <w:rsid w:val="00113773"/>
    <w:rsid w:val="00114BC8"/>
    <w:rsid w:val="001357E4"/>
    <w:rsid w:val="00137B38"/>
    <w:rsid w:val="0014325A"/>
    <w:rsid w:val="00147766"/>
    <w:rsid w:val="00150CDB"/>
    <w:rsid w:val="00152ECD"/>
    <w:rsid w:val="001558FF"/>
    <w:rsid w:val="00184130"/>
    <w:rsid w:val="00185914"/>
    <w:rsid w:val="001869ED"/>
    <w:rsid w:val="001963E4"/>
    <w:rsid w:val="001A6F4B"/>
    <w:rsid w:val="001B36EB"/>
    <w:rsid w:val="001C0F8E"/>
    <w:rsid w:val="001C12CC"/>
    <w:rsid w:val="001E539C"/>
    <w:rsid w:val="001F1C95"/>
    <w:rsid w:val="001F6680"/>
    <w:rsid w:val="002007A1"/>
    <w:rsid w:val="00204276"/>
    <w:rsid w:val="002115E3"/>
    <w:rsid w:val="00212B0F"/>
    <w:rsid w:val="00214CAC"/>
    <w:rsid w:val="002221A1"/>
    <w:rsid w:val="00226970"/>
    <w:rsid w:val="002307FC"/>
    <w:rsid w:val="00261AC8"/>
    <w:rsid w:val="00267E3F"/>
    <w:rsid w:val="002779E1"/>
    <w:rsid w:val="00281930"/>
    <w:rsid w:val="002851A6"/>
    <w:rsid w:val="00290B15"/>
    <w:rsid w:val="00291807"/>
    <w:rsid w:val="00294D10"/>
    <w:rsid w:val="00295F5D"/>
    <w:rsid w:val="002A0EFB"/>
    <w:rsid w:val="002A63A6"/>
    <w:rsid w:val="002A6DE4"/>
    <w:rsid w:val="002C6FFB"/>
    <w:rsid w:val="002D0372"/>
    <w:rsid w:val="002D149C"/>
    <w:rsid w:val="002D4409"/>
    <w:rsid w:val="003121A5"/>
    <w:rsid w:val="003213B7"/>
    <w:rsid w:val="00327BA6"/>
    <w:rsid w:val="00330F38"/>
    <w:rsid w:val="003433E9"/>
    <w:rsid w:val="003451CC"/>
    <w:rsid w:val="0035164A"/>
    <w:rsid w:val="00360F5B"/>
    <w:rsid w:val="003613A7"/>
    <w:rsid w:val="003634B9"/>
    <w:rsid w:val="003640EC"/>
    <w:rsid w:val="00367ED3"/>
    <w:rsid w:val="00372EFE"/>
    <w:rsid w:val="00376267"/>
    <w:rsid w:val="003805F3"/>
    <w:rsid w:val="0038097C"/>
    <w:rsid w:val="0038439E"/>
    <w:rsid w:val="003856C7"/>
    <w:rsid w:val="00386F6B"/>
    <w:rsid w:val="003A171B"/>
    <w:rsid w:val="003A6E50"/>
    <w:rsid w:val="003B100A"/>
    <w:rsid w:val="003B4CB2"/>
    <w:rsid w:val="003B78B1"/>
    <w:rsid w:val="003C1010"/>
    <w:rsid w:val="003C3460"/>
    <w:rsid w:val="003D5406"/>
    <w:rsid w:val="003E158F"/>
    <w:rsid w:val="003F2F86"/>
    <w:rsid w:val="00400AF1"/>
    <w:rsid w:val="00400DDD"/>
    <w:rsid w:val="00403806"/>
    <w:rsid w:val="00406FEC"/>
    <w:rsid w:val="004111B3"/>
    <w:rsid w:val="00414382"/>
    <w:rsid w:val="004207C7"/>
    <w:rsid w:val="00421299"/>
    <w:rsid w:val="00440496"/>
    <w:rsid w:val="0045045F"/>
    <w:rsid w:val="00461F55"/>
    <w:rsid w:val="00467AE6"/>
    <w:rsid w:val="004771C5"/>
    <w:rsid w:val="00480F91"/>
    <w:rsid w:val="0048230E"/>
    <w:rsid w:val="00485AFE"/>
    <w:rsid w:val="00491294"/>
    <w:rsid w:val="00491668"/>
    <w:rsid w:val="00494A7B"/>
    <w:rsid w:val="004A7F26"/>
    <w:rsid w:val="004D2735"/>
    <w:rsid w:val="004E5117"/>
    <w:rsid w:val="004E521B"/>
    <w:rsid w:val="004F1074"/>
    <w:rsid w:val="004F2B5C"/>
    <w:rsid w:val="004F3C79"/>
    <w:rsid w:val="004F51B1"/>
    <w:rsid w:val="00503FDB"/>
    <w:rsid w:val="00507FF8"/>
    <w:rsid w:val="005213BB"/>
    <w:rsid w:val="00521664"/>
    <w:rsid w:val="0052391B"/>
    <w:rsid w:val="00523A26"/>
    <w:rsid w:val="00524965"/>
    <w:rsid w:val="00524D23"/>
    <w:rsid w:val="00526D48"/>
    <w:rsid w:val="00527FA9"/>
    <w:rsid w:val="00533BCB"/>
    <w:rsid w:val="005429E4"/>
    <w:rsid w:val="00543410"/>
    <w:rsid w:val="00550F06"/>
    <w:rsid w:val="00551B81"/>
    <w:rsid w:val="005559E6"/>
    <w:rsid w:val="00560683"/>
    <w:rsid w:val="0056163A"/>
    <w:rsid w:val="0056487B"/>
    <w:rsid w:val="00572792"/>
    <w:rsid w:val="005742EB"/>
    <w:rsid w:val="00577E4A"/>
    <w:rsid w:val="00583446"/>
    <w:rsid w:val="00585526"/>
    <w:rsid w:val="005A7D06"/>
    <w:rsid w:val="005B762E"/>
    <w:rsid w:val="005C2194"/>
    <w:rsid w:val="005D4647"/>
    <w:rsid w:val="005D68A7"/>
    <w:rsid w:val="005F3466"/>
    <w:rsid w:val="00604D6E"/>
    <w:rsid w:val="00607567"/>
    <w:rsid w:val="006105BB"/>
    <w:rsid w:val="006221D4"/>
    <w:rsid w:val="00627AD9"/>
    <w:rsid w:val="006442DD"/>
    <w:rsid w:val="00654303"/>
    <w:rsid w:val="00656608"/>
    <w:rsid w:val="006670AD"/>
    <w:rsid w:val="00691BC7"/>
    <w:rsid w:val="006A7EAA"/>
    <w:rsid w:val="006B739C"/>
    <w:rsid w:val="006C4787"/>
    <w:rsid w:val="006C6AA9"/>
    <w:rsid w:val="006D666F"/>
    <w:rsid w:val="006E4728"/>
    <w:rsid w:val="006E6077"/>
    <w:rsid w:val="006E6A18"/>
    <w:rsid w:val="006F187A"/>
    <w:rsid w:val="007012B6"/>
    <w:rsid w:val="00707379"/>
    <w:rsid w:val="00707E27"/>
    <w:rsid w:val="00715123"/>
    <w:rsid w:val="00715C82"/>
    <w:rsid w:val="0072189F"/>
    <w:rsid w:val="007344F1"/>
    <w:rsid w:val="007378E8"/>
    <w:rsid w:val="007506D8"/>
    <w:rsid w:val="00753593"/>
    <w:rsid w:val="00757B15"/>
    <w:rsid w:val="00761D81"/>
    <w:rsid w:val="0077504F"/>
    <w:rsid w:val="00785914"/>
    <w:rsid w:val="007909D2"/>
    <w:rsid w:val="007A312F"/>
    <w:rsid w:val="007A32AD"/>
    <w:rsid w:val="007B2BC1"/>
    <w:rsid w:val="007B6DF6"/>
    <w:rsid w:val="007D0B22"/>
    <w:rsid w:val="007E0D7B"/>
    <w:rsid w:val="007E5896"/>
    <w:rsid w:val="007F0F9A"/>
    <w:rsid w:val="007F4010"/>
    <w:rsid w:val="007F660B"/>
    <w:rsid w:val="0081123C"/>
    <w:rsid w:val="00812E15"/>
    <w:rsid w:val="008275B9"/>
    <w:rsid w:val="00834291"/>
    <w:rsid w:val="008354DB"/>
    <w:rsid w:val="008477E2"/>
    <w:rsid w:val="00852209"/>
    <w:rsid w:val="00855742"/>
    <w:rsid w:val="008638A4"/>
    <w:rsid w:val="00865679"/>
    <w:rsid w:val="008705F9"/>
    <w:rsid w:val="00887E94"/>
    <w:rsid w:val="008930DE"/>
    <w:rsid w:val="008A0316"/>
    <w:rsid w:val="008A6E83"/>
    <w:rsid w:val="008C1D65"/>
    <w:rsid w:val="008E50F0"/>
    <w:rsid w:val="008F21E1"/>
    <w:rsid w:val="008F2A16"/>
    <w:rsid w:val="009034BD"/>
    <w:rsid w:val="009064D0"/>
    <w:rsid w:val="00906AFE"/>
    <w:rsid w:val="00916A00"/>
    <w:rsid w:val="009236FA"/>
    <w:rsid w:val="00923931"/>
    <w:rsid w:val="00952DD4"/>
    <w:rsid w:val="009549B5"/>
    <w:rsid w:val="0096702F"/>
    <w:rsid w:val="00972DA6"/>
    <w:rsid w:val="00977656"/>
    <w:rsid w:val="009C48B7"/>
    <w:rsid w:val="009D5522"/>
    <w:rsid w:val="009E0666"/>
    <w:rsid w:val="009F32DA"/>
    <w:rsid w:val="00A07F7F"/>
    <w:rsid w:val="00A23BD3"/>
    <w:rsid w:val="00A31EFF"/>
    <w:rsid w:val="00A43465"/>
    <w:rsid w:val="00A60508"/>
    <w:rsid w:val="00A651C7"/>
    <w:rsid w:val="00A756A9"/>
    <w:rsid w:val="00A860D7"/>
    <w:rsid w:val="00A86704"/>
    <w:rsid w:val="00A8683B"/>
    <w:rsid w:val="00A8767B"/>
    <w:rsid w:val="00AA586F"/>
    <w:rsid w:val="00AA73FB"/>
    <w:rsid w:val="00AB2256"/>
    <w:rsid w:val="00AC023A"/>
    <w:rsid w:val="00AC03FE"/>
    <w:rsid w:val="00AC52CA"/>
    <w:rsid w:val="00AC7A5B"/>
    <w:rsid w:val="00AD0DAB"/>
    <w:rsid w:val="00AD1C8A"/>
    <w:rsid w:val="00AD1EF1"/>
    <w:rsid w:val="00AE230D"/>
    <w:rsid w:val="00AE4AAD"/>
    <w:rsid w:val="00AF0156"/>
    <w:rsid w:val="00AF3B47"/>
    <w:rsid w:val="00AF56DA"/>
    <w:rsid w:val="00AF61A2"/>
    <w:rsid w:val="00B06296"/>
    <w:rsid w:val="00B148E0"/>
    <w:rsid w:val="00B1699C"/>
    <w:rsid w:val="00B258F7"/>
    <w:rsid w:val="00B26BEF"/>
    <w:rsid w:val="00B37EA1"/>
    <w:rsid w:val="00B5593F"/>
    <w:rsid w:val="00B61D1D"/>
    <w:rsid w:val="00B65324"/>
    <w:rsid w:val="00B84E5D"/>
    <w:rsid w:val="00B9094B"/>
    <w:rsid w:val="00B931BE"/>
    <w:rsid w:val="00B97E3E"/>
    <w:rsid w:val="00BA31DC"/>
    <w:rsid w:val="00BA5770"/>
    <w:rsid w:val="00BA6710"/>
    <w:rsid w:val="00BB4C72"/>
    <w:rsid w:val="00BC324C"/>
    <w:rsid w:val="00BC64AC"/>
    <w:rsid w:val="00C04A02"/>
    <w:rsid w:val="00C1509F"/>
    <w:rsid w:val="00C24781"/>
    <w:rsid w:val="00C31607"/>
    <w:rsid w:val="00C32099"/>
    <w:rsid w:val="00C37135"/>
    <w:rsid w:val="00C47D9A"/>
    <w:rsid w:val="00C60530"/>
    <w:rsid w:val="00C77AFB"/>
    <w:rsid w:val="00C80E4C"/>
    <w:rsid w:val="00C845A8"/>
    <w:rsid w:val="00CA40E6"/>
    <w:rsid w:val="00CB0868"/>
    <w:rsid w:val="00CC4955"/>
    <w:rsid w:val="00CE1DB1"/>
    <w:rsid w:val="00CE3B7E"/>
    <w:rsid w:val="00D00AAF"/>
    <w:rsid w:val="00D04577"/>
    <w:rsid w:val="00D063B2"/>
    <w:rsid w:val="00D33BEE"/>
    <w:rsid w:val="00D41B36"/>
    <w:rsid w:val="00D42F3C"/>
    <w:rsid w:val="00D465F6"/>
    <w:rsid w:val="00D71B4D"/>
    <w:rsid w:val="00D72E74"/>
    <w:rsid w:val="00D7309F"/>
    <w:rsid w:val="00D7713F"/>
    <w:rsid w:val="00D77D25"/>
    <w:rsid w:val="00D82C25"/>
    <w:rsid w:val="00D87200"/>
    <w:rsid w:val="00D92998"/>
    <w:rsid w:val="00DA1D4C"/>
    <w:rsid w:val="00DA3763"/>
    <w:rsid w:val="00DB6189"/>
    <w:rsid w:val="00DC0CB0"/>
    <w:rsid w:val="00DC5ADC"/>
    <w:rsid w:val="00DD712A"/>
    <w:rsid w:val="00DF1D94"/>
    <w:rsid w:val="00DF37FD"/>
    <w:rsid w:val="00DF4B45"/>
    <w:rsid w:val="00E051E8"/>
    <w:rsid w:val="00E07A7B"/>
    <w:rsid w:val="00E16167"/>
    <w:rsid w:val="00E208D0"/>
    <w:rsid w:val="00E300E0"/>
    <w:rsid w:val="00E40F65"/>
    <w:rsid w:val="00E52FDA"/>
    <w:rsid w:val="00E56AE2"/>
    <w:rsid w:val="00E61256"/>
    <w:rsid w:val="00E6583B"/>
    <w:rsid w:val="00E713C0"/>
    <w:rsid w:val="00E777D1"/>
    <w:rsid w:val="00E81A74"/>
    <w:rsid w:val="00EA2FB8"/>
    <w:rsid w:val="00EA4936"/>
    <w:rsid w:val="00EA630A"/>
    <w:rsid w:val="00EA794B"/>
    <w:rsid w:val="00EB0931"/>
    <w:rsid w:val="00EB1DA1"/>
    <w:rsid w:val="00EC0AE5"/>
    <w:rsid w:val="00ED516C"/>
    <w:rsid w:val="00EF725C"/>
    <w:rsid w:val="00F16D03"/>
    <w:rsid w:val="00F301BC"/>
    <w:rsid w:val="00F312AC"/>
    <w:rsid w:val="00F35272"/>
    <w:rsid w:val="00F37A5F"/>
    <w:rsid w:val="00F41AFE"/>
    <w:rsid w:val="00F4372A"/>
    <w:rsid w:val="00F52357"/>
    <w:rsid w:val="00F64BF8"/>
    <w:rsid w:val="00F6701F"/>
    <w:rsid w:val="00F754AE"/>
    <w:rsid w:val="00F768F8"/>
    <w:rsid w:val="00F77B77"/>
    <w:rsid w:val="00F81B41"/>
    <w:rsid w:val="00F81BF8"/>
    <w:rsid w:val="00F85DD0"/>
    <w:rsid w:val="00F86D99"/>
    <w:rsid w:val="00FA475D"/>
    <w:rsid w:val="00FA4BD5"/>
    <w:rsid w:val="00FB0A10"/>
    <w:rsid w:val="00FC14D1"/>
    <w:rsid w:val="00FC534B"/>
    <w:rsid w:val="00FC656F"/>
    <w:rsid w:val="00FC7943"/>
    <w:rsid w:val="00FD02A4"/>
    <w:rsid w:val="00FD07D0"/>
    <w:rsid w:val="00FD43AF"/>
    <w:rsid w:val="00FE4A56"/>
    <w:rsid w:val="00FE5590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52BB3A"/>
  <w15:docId w15:val="{D5B15990-606B-464C-81B2-0CDA0EDC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6487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7B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56487B"/>
    <w:pPr>
      <w:ind w:left="720"/>
      <w:contextualSpacing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56487B"/>
    <w:rPr>
      <w:vertAlign w:val="superscript"/>
    </w:rPr>
  </w:style>
  <w:style w:type="table" w:styleId="TableGrid">
    <w:name w:val="Table Grid"/>
    <w:basedOn w:val="TableNormal"/>
    <w:uiPriority w:val="59"/>
    <w:rsid w:val="005648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3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32E"/>
    <w:rPr>
      <w:b/>
      <w:bCs/>
      <w:sz w:val="20"/>
      <w:szCs w:val="20"/>
    </w:rPr>
  </w:style>
  <w:style w:type="paragraph" w:styleId="NoSpacing">
    <w:name w:val="No Spacing"/>
    <w:uiPriority w:val="1"/>
    <w:qFormat/>
    <w:rsid w:val="00B61D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DA"/>
  </w:style>
  <w:style w:type="paragraph" w:styleId="Footer">
    <w:name w:val="footer"/>
    <w:basedOn w:val="Normal"/>
    <w:link w:val="FooterChar"/>
    <w:uiPriority w:val="99"/>
    <w:unhideWhenUsed/>
    <w:rsid w:val="00E5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DA"/>
  </w:style>
  <w:style w:type="paragraph" w:styleId="EndnoteText">
    <w:name w:val="endnote text"/>
    <w:basedOn w:val="Normal"/>
    <w:link w:val="EndnoteTextChar"/>
    <w:uiPriority w:val="99"/>
    <w:semiHidden/>
    <w:unhideWhenUsed/>
    <w:rsid w:val="00DF1D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D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1D94"/>
    <w:rPr>
      <w:vertAlign w:val="superscript"/>
    </w:rPr>
  </w:style>
  <w:style w:type="paragraph" w:styleId="Revision">
    <w:name w:val="Revision"/>
    <w:hidden/>
    <w:uiPriority w:val="99"/>
    <w:semiHidden/>
    <w:rsid w:val="005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764-7B65-48B3-AF1E-B3A8B204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998</Words>
  <Characters>5691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Baltor, Vanessa (PHMSA)</cp:lastModifiedBy>
  <cp:revision>2</cp:revision>
  <cp:lastPrinted>2016-09-27T12:39:00Z</cp:lastPrinted>
  <dcterms:created xsi:type="dcterms:W3CDTF">2019-03-04T20:53:00Z</dcterms:created>
  <dcterms:modified xsi:type="dcterms:W3CDTF">2019-03-04T20:53:00Z</dcterms:modified>
</cp:coreProperties>
</file>